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974" w:rsidRPr="00454F9A" w:rsidRDefault="00865974" w:rsidP="00454F9A">
      <w:pPr>
        <w:rPr>
          <w:rFonts w:ascii="Arial" w:hAnsi="Arial" w:cs="Arial"/>
        </w:rPr>
      </w:pPr>
      <w:bookmarkStart w:id="0" w:name="_Ref18300554"/>
      <w:bookmarkStart w:id="1" w:name="_Toc36232994"/>
    </w:p>
    <w:p w:rsidR="00865974" w:rsidRPr="00454F9A" w:rsidRDefault="00865974" w:rsidP="00454F9A">
      <w:pPr>
        <w:rPr>
          <w:rFonts w:ascii="Arial" w:hAnsi="Arial" w:cs="Arial"/>
        </w:rPr>
      </w:pPr>
    </w:p>
    <w:p w:rsidR="00865974" w:rsidRPr="00454F9A" w:rsidRDefault="00865974" w:rsidP="00454F9A">
      <w:pPr>
        <w:rPr>
          <w:rFonts w:ascii="Arial" w:hAnsi="Arial" w:cs="Arial"/>
        </w:rPr>
      </w:pPr>
    </w:p>
    <w:p w:rsidR="00865974" w:rsidRPr="00454F9A" w:rsidRDefault="00865974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Gázelegyek </w:t>
      </w:r>
    </w:p>
    <w:p w:rsidR="00865974" w:rsidRPr="00454F9A" w:rsidRDefault="00865974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>Robbanáshatár Vizsgálata</w:t>
      </w:r>
      <w:bookmarkEnd w:id="0"/>
      <w:bookmarkEnd w:id="1"/>
    </w:p>
    <w:p w:rsidR="00865974" w:rsidRPr="00454F9A" w:rsidRDefault="00865974" w:rsidP="00454F9A">
      <w:pPr>
        <w:rPr>
          <w:rFonts w:ascii="Arial" w:hAnsi="Arial" w:cs="Arial"/>
        </w:rPr>
      </w:pPr>
    </w:p>
    <w:p w:rsidR="00865974" w:rsidRPr="00454F9A" w:rsidRDefault="00865974" w:rsidP="00454F9A">
      <w:pPr>
        <w:rPr>
          <w:rFonts w:ascii="Arial" w:hAnsi="Arial" w:cs="Arial"/>
        </w:rPr>
      </w:pPr>
    </w:p>
    <w:p w:rsidR="00865974" w:rsidRPr="00454F9A" w:rsidRDefault="00865974" w:rsidP="00454F9A">
      <w:pPr>
        <w:rPr>
          <w:rFonts w:ascii="Arial" w:hAnsi="Arial" w:cs="Arial"/>
        </w:rPr>
      </w:pPr>
    </w:p>
    <w:p w:rsidR="00865974" w:rsidRPr="00454F9A" w:rsidRDefault="00865974" w:rsidP="00454F9A">
      <w:pPr>
        <w:rPr>
          <w:rFonts w:ascii="Arial" w:hAnsi="Arial" w:cs="Arial"/>
        </w:rPr>
      </w:pPr>
    </w:p>
    <w:p w:rsidR="00865974" w:rsidRPr="00454F9A" w:rsidRDefault="00865974" w:rsidP="00454F9A">
      <w:pPr>
        <w:rPr>
          <w:rFonts w:ascii="Arial" w:hAnsi="Arial" w:cs="Arial"/>
        </w:rPr>
      </w:pPr>
      <w:bookmarkStart w:id="2" w:name="_Toc308106899"/>
      <w:r w:rsidRPr="00454F9A">
        <w:rPr>
          <w:rFonts w:ascii="Arial" w:hAnsi="Arial" w:cs="Arial"/>
        </w:rPr>
        <w:t>Tartalomjegyzék</w:t>
      </w:r>
      <w:bookmarkEnd w:id="2"/>
    </w:p>
    <w:p w:rsidR="00865974" w:rsidRPr="00454F9A" w:rsidRDefault="00865974" w:rsidP="00454F9A">
      <w:pPr>
        <w:rPr>
          <w:rFonts w:ascii="Arial" w:hAnsi="Arial" w:cs="Arial"/>
        </w:rPr>
      </w:pPr>
    </w:p>
    <w:p w:rsidR="00865974" w:rsidRPr="00454F9A" w:rsidRDefault="00865974" w:rsidP="00454F9A">
      <w:pPr>
        <w:rPr>
          <w:rFonts w:ascii="Arial" w:hAnsi="Arial" w:cs="Arial"/>
        </w:rPr>
      </w:pPr>
      <w:bookmarkStart w:id="3" w:name="_Toc308106900"/>
      <w:r w:rsidRPr="00454F9A">
        <w:rPr>
          <w:rFonts w:ascii="Arial" w:hAnsi="Arial" w:cs="Arial"/>
        </w:rPr>
        <w:t>Bevezetés</w:t>
      </w:r>
      <w:bookmarkEnd w:id="3"/>
    </w:p>
    <w:p w:rsidR="00865974" w:rsidRPr="00454F9A" w:rsidRDefault="00865974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robbanásveszélyes gázelegyek biztonságos felhasználásához elengedhetetlen ezek égési tulajdonságainak pontos ismerete. Éghető gázok esetében általában két határérték ismert, az alsó és felső robbanási </w:t>
      </w:r>
      <w:proofErr w:type="gramStart"/>
      <w:r w:rsidRPr="00454F9A">
        <w:rPr>
          <w:rFonts w:ascii="Arial" w:hAnsi="Arial" w:cs="Arial"/>
        </w:rPr>
        <w:t>koncentráció</w:t>
      </w:r>
      <w:proofErr w:type="gramEnd"/>
      <w:r w:rsidRPr="00454F9A">
        <w:rPr>
          <w:rFonts w:ascii="Arial" w:hAnsi="Arial" w:cs="Arial"/>
        </w:rPr>
        <w:t xml:space="preserve"> határ. A gyakorlatból is tudjuk, hogy gyulladás és robbanás csak bizonyos </w:t>
      </w:r>
      <w:proofErr w:type="gramStart"/>
      <w:r w:rsidRPr="00454F9A">
        <w:rPr>
          <w:rFonts w:ascii="Arial" w:hAnsi="Arial" w:cs="Arial"/>
        </w:rPr>
        <w:t>koncentráció</w:t>
      </w:r>
      <w:proofErr w:type="gramEnd"/>
      <w:r w:rsidRPr="00454F9A">
        <w:rPr>
          <w:rFonts w:ascii="Arial" w:hAnsi="Arial" w:cs="Arial"/>
        </w:rPr>
        <w:t xml:space="preserve">-arányok mellett történhet, és a robbanásveszélyes koncentráció arányok összefüggő tartományt képeznek a komponens-arány térben. </w:t>
      </w:r>
    </w:p>
    <w:p w:rsidR="00865974" w:rsidRPr="00454F9A" w:rsidRDefault="00865974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Az a robbanási tartomány, ahol a gázelegy robbanásának láncreakciója meg tud indulni, mérésekkel határozható meg. Robbanásbiztosnak mondhatók azok az elegyek, amelyekben a lángterjedés bizonyos távolságot nem ér el, begyújtáskor a láng hossza kisebb, mint a szabvány szerinti hosszúság. </w:t>
      </w:r>
    </w:p>
    <w:p w:rsidR="00B31F6C" w:rsidRPr="00454F9A" w:rsidRDefault="00B31F6C" w:rsidP="00454F9A">
      <w:pPr>
        <w:rPr>
          <w:rFonts w:ascii="Arial" w:hAnsi="Arial" w:cs="Arial"/>
        </w:rPr>
      </w:pPr>
    </w:p>
    <w:p w:rsidR="00302F35" w:rsidRPr="00454F9A" w:rsidRDefault="00302F35" w:rsidP="00454F9A">
      <w:pPr>
        <w:rPr>
          <w:rFonts w:ascii="Arial" w:hAnsi="Arial" w:cs="Arial"/>
        </w:rPr>
      </w:pPr>
      <w:bookmarkStart w:id="4" w:name="_Toc308106901"/>
      <w:r w:rsidRPr="00454F9A">
        <w:rPr>
          <w:rFonts w:ascii="Arial" w:hAnsi="Arial" w:cs="Arial"/>
        </w:rPr>
        <w:t>Gázrobbanás</w:t>
      </w:r>
      <w:bookmarkEnd w:id="4"/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>Gázrobbanás alatt az a folyamat értendő, amikor homogén gázelegy – robbanógáz-levegő vagy robbanógáz-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 – égése gyors nyomásnövekedést okoz. Gázrobbanások történhetnek feldolgozó berendezésekben vagy csövekben, épületekben vagy külső egységekben, nyitott feldolgozó területeken vagy szabad térben. A gázrobbanás eseménye szabadabban is értelmezhető – </w:t>
      </w:r>
      <w:proofErr w:type="spellStart"/>
      <w:r w:rsidRPr="00454F9A">
        <w:rPr>
          <w:rFonts w:ascii="Arial" w:hAnsi="Arial" w:cs="Arial"/>
        </w:rPr>
        <w:t>beleérthetőek</w:t>
      </w:r>
      <w:proofErr w:type="spellEnd"/>
      <w:r w:rsidRPr="00454F9A">
        <w:rPr>
          <w:rFonts w:ascii="Arial" w:hAnsi="Arial" w:cs="Arial"/>
        </w:rPr>
        <w:t xml:space="preserve"> a robbanás pillanatát megelőző és az azt követő események is.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Amikor a létrejövő gázfelhő nincs a gyulladási határon belül, vagy amikor nincs begyújtó forrás, a gázfelhő egyszerűen eloszolhat, eltűnhet. Ha gyulladás történik, az égés hatására létrejövő nyomásváltozás mértéke függ a lángterjedési sebességtől és a tágulási tértől. A gázrobbanások következményei eltérő nagyságú károk lehetnek, a semmilyen gyakorlati kártól egészen a teljes pusztításig. A robbanás által kifejtett nyomásnövekedés anyagi és személyi károkat okozhat, vagy balesetekhez és tűzesetekhez vezethet, láncreakciót indíthat el. A gázrobbanásokat nagyon gyakran tűz követi. 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lastRenderedPageBreak/>
        <w:t xml:space="preserve">Amikor az éghetőgáz-felhő begyullad, a lángterjedés két fajtája lehetséges, </w:t>
      </w:r>
      <w:proofErr w:type="spellStart"/>
      <w:r w:rsidRPr="00454F9A">
        <w:rPr>
          <w:rFonts w:ascii="Arial" w:hAnsi="Arial" w:cs="Arial"/>
        </w:rPr>
        <w:t>deflagráció</w:t>
      </w:r>
      <w:proofErr w:type="spellEnd"/>
      <w:r w:rsidRPr="00454F9A">
        <w:rPr>
          <w:rFonts w:ascii="Arial" w:hAnsi="Arial" w:cs="Arial"/>
        </w:rPr>
        <w:t xml:space="preserve"> vagy </w:t>
      </w:r>
      <w:proofErr w:type="gramStart"/>
      <w:r w:rsidRPr="00454F9A">
        <w:rPr>
          <w:rFonts w:ascii="Arial" w:hAnsi="Arial" w:cs="Arial"/>
        </w:rPr>
        <w:t>detonáció</w:t>
      </w:r>
      <w:proofErr w:type="gramEnd"/>
      <w:r w:rsidRPr="00454F9A">
        <w:rPr>
          <w:rFonts w:ascii="Arial" w:hAnsi="Arial" w:cs="Arial"/>
        </w:rPr>
        <w:t xml:space="preserve">. A </w:t>
      </w:r>
      <w:proofErr w:type="spellStart"/>
      <w:r w:rsidRPr="00454F9A">
        <w:rPr>
          <w:rFonts w:ascii="Arial" w:hAnsi="Arial" w:cs="Arial"/>
        </w:rPr>
        <w:t>deflagráció</w:t>
      </w:r>
      <w:proofErr w:type="spellEnd"/>
      <w:r w:rsidRPr="00454F9A">
        <w:rPr>
          <w:rFonts w:ascii="Arial" w:hAnsi="Arial" w:cs="Arial"/>
        </w:rPr>
        <w:t xml:space="preserve"> gyakoribb, mint a </w:t>
      </w:r>
      <w:proofErr w:type="gramStart"/>
      <w:r w:rsidRPr="00454F9A">
        <w:rPr>
          <w:rFonts w:ascii="Arial" w:hAnsi="Arial" w:cs="Arial"/>
        </w:rPr>
        <w:t>detonáció</w:t>
      </w:r>
      <w:proofErr w:type="gramEnd"/>
      <w:r w:rsidRPr="00454F9A">
        <w:rPr>
          <w:rFonts w:ascii="Arial" w:hAnsi="Arial" w:cs="Arial"/>
        </w:rPr>
        <w:t xml:space="preserve">. Ilyenkor a tűz hangsebességnél lassabban terjed a még el nem égett gázhoz képest, </w:t>
      </w:r>
      <w:proofErr w:type="gramStart"/>
      <w:r w:rsidRPr="00454F9A">
        <w:rPr>
          <w:rFonts w:ascii="Arial" w:hAnsi="Arial" w:cs="Arial"/>
        </w:rPr>
        <w:t>tipikusan</w:t>
      </w:r>
      <w:proofErr w:type="gramEnd"/>
      <w:r w:rsidRPr="00454F9A">
        <w:rPr>
          <w:rFonts w:ascii="Arial" w:hAnsi="Arial" w:cs="Arial"/>
        </w:rPr>
        <w:t xml:space="preserve"> 1-től 330 m/s-</w:t>
      </w:r>
      <w:proofErr w:type="spellStart"/>
      <w:r w:rsidRPr="00454F9A">
        <w:rPr>
          <w:rFonts w:ascii="Arial" w:hAnsi="Arial" w:cs="Arial"/>
        </w:rPr>
        <w:t>os</w:t>
      </w:r>
      <w:proofErr w:type="spellEnd"/>
      <w:r w:rsidRPr="00454F9A">
        <w:rPr>
          <w:rFonts w:ascii="Arial" w:hAnsi="Arial" w:cs="Arial"/>
        </w:rPr>
        <w:t xml:space="preserve"> lángterjedési sebességgel. </w:t>
      </w:r>
      <w:proofErr w:type="gramStart"/>
      <w:r w:rsidRPr="00454F9A">
        <w:rPr>
          <w:rFonts w:ascii="Arial" w:hAnsi="Arial" w:cs="Arial"/>
        </w:rPr>
        <w:t>Detonáció</w:t>
      </w:r>
      <w:proofErr w:type="gramEnd"/>
      <w:r w:rsidRPr="00454F9A">
        <w:rPr>
          <w:rFonts w:ascii="Arial" w:hAnsi="Arial" w:cs="Arial"/>
        </w:rPr>
        <w:t xml:space="preserve"> folyamán a lángterjedés hangsebességnél gyorsabban történik, 1500-2000 m/s-</w:t>
      </w:r>
      <w:proofErr w:type="spellStart"/>
      <w:r w:rsidRPr="00454F9A">
        <w:rPr>
          <w:rFonts w:ascii="Arial" w:hAnsi="Arial" w:cs="Arial"/>
        </w:rPr>
        <w:t>os</w:t>
      </w:r>
      <w:proofErr w:type="spellEnd"/>
      <w:r w:rsidRPr="00454F9A">
        <w:rPr>
          <w:rFonts w:ascii="Arial" w:hAnsi="Arial" w:cs="Arial"/>
        </w:rPr>
        <w:t xml:space="preserve"> jellemző sebességgel, amit lökéshullám jellemez. 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>A szénhidrogének és levegő keverékének gyenge szikra hatására történő robbanásakor a lángterjedés lassú, lamináris áramlású, 3-4 m/s-es terjedési sebességgel. Valóban lezáratlan körülmények között, ahol sem épület, sem egyéb eszközök nem állják útját a gázfelhő tágulásának, a robbanás terjedésének sebessége nem haladja meg a 20-25 m/s-</w:t>
      </w:r>
      <w:proofErr w:type="spellStart"/>
      <w:r w:rsidRPr="00454F9A">
        <w:rPr>
          <w:rFonts w:ascii="Arial" w:hAnsi="Arial" w:cs="Arial"/>
        </w:rPr>
        <w:t>ot</w:t>
      </w:r>
      <w:proofErr w:type="spellEnd"/>
      <w:r w:rsidRPr="00454F9A">
        <w:rPr>
          <w:rFonts w:ascii="Arial" w:hAnsi="Arial" w:cs="Arial"/>
        </w:rPr>
        <w:t>, a nyomásnövekedés pedig elhanyagolható mértékű. Amennyiben viszont a robbanás épületben, vagy feldolgozó egységeken belül következik be, a lángterjedés elérheti a több száz m/s-</w:t>
      </w:r>
      <w:proofErr w:type="spellStart"/>
      <w:r w:rsidRPr="00454F9A">
        <w:rPr>
          <w:rFonts w:ascii="Arial" w:hAnsi="Arial" w:cs="Arial"/>
        </w:rPr>
        <w:t>os</w:t>
      </w:r>
      <w:proofErr w:type="spellEnd"/>
      <w:r w:rsidRPr="00454F9A">
        <w:rPr>
          <w:rFonts w:ascii="Arial" w:hAnsi="Arial" w:cs="Arial"/>
        </w:rPr>
        <w:t xml:space="preserve"> sebességet. A gáz égése során a hőmérsékletnövekedés és gyakran a keletkező reakció következményeként beálló térfogatnövekedés miatt a nyomásnövekedés akár 8-9-szeres is lehet. Ilyenkor a láng maga előtt tolja a még el nem égett gázt, turbulens áramlási mezőket kialakítva. Amikor a láng a turbulens területekre ér, az </w:t>
      </w:r>
      <w:proofErr w:type="gramStart"/>
      <w:r w:rsidRPr="00454F9A">
        <w:rPr>
          <w:rFonts w:ascii="Arial" w:hAnsi="Arial" w:cs="Arial"/>
        </w:rPr>
        <w:t>effektív</w:t>
      </w:r>
      <w:proofErr w:type="gramEnd"/>
      <w:r w:rsidRPr="00454F9A">
        <w:rPr>
          <w:rFonts w:ascii="Arial" w:hAnsi="Arial" w:cs="Arial"/>
        </w:rPr>
        <w:t xml:space="preserve"> égési ráta növekszik, ezzel </w:t>
      </w:r>
      <w:proofErr w:type="spellStart"/>
      <w:r w:rsidRPr="00454F9A">
        <w:rPr>
          <w:rFonts w:ascii="Arial" w:hAnsi="Arial" w:cs="Arial"/>
        </w:rPr>
        <w:t>láncreakciószerűen</w:t>
      </w:r>
      <w:proofErr w:type="spellEnd"/>
      <w:r w:rsidRPr="00454F9A">
        <w:rPr>
          <w:rFonts w:ascii="Arial" w:hAnsi="Arial" w:cs="Arial"/>
        </w:rPr>
        <w:t xml:space="preserve"> tovább növelve a turbulencia mértékét. Az ilyen erős pozitív visszacsatolási mechanizmus okozza a nagy lángterjedési gyorsulást, az erőteljes nyomásváltozást, ami bizonyos esetekben átlendülhet </w:t>
      </w:r>
      <w:proofErr w:type="spellStart"/>
      <w:r w:rsidRPr="00454F9A">
        <w:rPr>
          <w:rFonts w:ascii="Arial" w:hAnsi="Arial" w:cs="Arial"/>
        </w:rPr>
        <w:t>deflagrációból</w:t>
      </w:r>
      <w:proofErr w:type="spellEnd"/>
      <w:r w:rsidRPr="00454F9A">
        <w:rPr>
          <w:rFonts w:ascii="Arial" w:hAnsi="Arial" w:cs="Arial"/>
        </w:rPr>
        <w:t xml:space="preserve"> </w:t>
      </w:r>
      <w:proofErr w:type="gramStart"/>
      <w:r w:rsidRPr="00454F9A">
        <w:rPr>
          <w:rFonts w:ascii="Arial" w:hAnsi="Arial" w:cs="Arial"/>
        </w:rPr>
        <w:t>detonációba</w:t>
      </w:r>
      <w:proofErr w:type="gramEnd"/>
      <w:r w:rsidRPr="00454F9A">
        <w:rPr>
          <w:rFonts w:ascii="Arial" w:hAnsi="Arial" w:cs="Arial"/>
        </w:rPr>
        <w:t xml:space="preserve"> is.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Elzárt esetben, például egy zárt tartályban (állandó térfogatú helyzetben), még nagy lángterjedési sebesség sem szükséges a nyomásváltozáshoz. A tartályban nincs, vagy nagyon kicsi a </w:t>
      </w:r>
      <w:proofErr w:type="spellStart"/>
      <w:r w:rsidRPr="00454F9A">
        <w:rPr>
          <w:rFonts w:ascii="Arial" w:hAnsi="Arial" w:cs="Arial"/>
        </w:rPr>
        <w:t>nyomáskiegyenlítődés</w:t>
      </w:r>
      <w:proofErr w:type="spellEnd"/>
      <w:r w:rsidRPr="00454F9A">
        <w:rPr>
          <w:rFonts w:ascii="Arial" w:hAnsi="Arial" w:cs="Arial"/>
        </w:rPr>
        <w:t xml:space="preserve"> (szellőzés) lehetősége, így akár már lassú lángterjedés is nyomásnövekedéshez vezet.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>A gázrobbanás következményei az alábbi szempontoktól függenek:</w:t>
      </w:r>
    </w:p>
    <w:p w:rsidR="00302F35" w:rsidRPr="00454F9A" w:rsidRDefault="00302F35" w:rsidP="00454F9A">
      <w:pPr>
        <w:rPr>
          <w:rFonts w:ascii="Arial" w:hAnsi="Arial" w:cs="Arial"/>
        </w:rPr>
      </w:pPr>
      <w:proofErr w:type="gramStart"/>
      <w:r w:rsidRPr="00454F9A">
        <w:rPr>
          <w:rFonts w:ascii="Arial" w:hAnsi="Arial" w:cs="Arial"/>
        </w:rPr>
        <w:t>éghetőanyag</w:t>
      </w:r>
      <w:proofErr w:type="gramEnd"/>
      <w:r w:rsidRPr="00454F9A">
        <w:rPr>
          <w:rFonts w:ascii="Arial" w:hAnsi="Arial" w:cs="Arial"/>
        </w:rPr>
        <w:t xml:space="preserve"> és 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 típusától,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gázfelhő méretétől és </w:t>
      </w:r>
      <w:proofErr w:type="gramStart"/>
      <w:r w:rsidRPr="00454F9A">
        <w:rPr>
          <w:rFonts w:ascii="Arial" w:hAnsi="Arial" w:cs="Arial"/>
        </w:rPr>
        <w:t>koncentrációs</w:t>
      </w:r>
      <w:proofErr w:type="gramEnd"/>
      <w:r w:rsidRPr="00454F9A">
        <w:rPr>
          <w:rFonts w:ascii="Arial" w:hAnsi="Arial" w:cs="Arial"/>
        </w:rPr>
        <w:t xml:space="preserve"> viszonyaitól,</w:t>
      </w:r>
    </w:p>
    <w:p w:rsidR="00302F35" w:rsidRPr="00454F9A" w:rsidRDefault="00302F35" w:rsidP="00454F9A">
      <w:pPr>
        <w:rPr>
          <w:rFonts w:ascii="Arial" w:hAnsi="Arial" w:cs="Arial"/>
        </w:rPr>
      </w:pPr>
      <w:proofErr w:type="gramStart"/>
      <w:r w:rsidRPr="00454F9A">
        <w:rPr>
          <w:rFonts w:ascii="Arial" w:hAnsi="Arial" w:cs="Arial"/>
        </w:rPr>
        <w:t>a</w:t>
      </w:r>
      <w:proofErr w:type="gramEnd"/>
      <w:r w:rsidRPr="00454F9A">
        <w:rPr>
          <w:rFonts w:ascii="Arial" w:hAnsi="Arial" w:cs="Arial"/>
        </w:rPr>
        <w:t xml:space="preserve"> gyújtási pont helyétől és erősségétől,</w:t>
      </w:r>
    </w:p>
    <w:p w:rsidR="00302F35" w:rsidRPr="00454F9A" w:rsidRDefault="00302F35" w:rsidP="00454F9A">
      <w:pPr>
        <w:rPr>
          <w:rFonts w:ascii="Arial" w:hAnsi="Arial" w:cs="Arial"/>
        </w:rPr>
      </w:pPr>
      <w:proofErr w:type="gramStart"/>
      <w:r w:rsidRPr="00454F9A">
        <w:rPr>
          <w:rFonts w:ascii="Arial" w:hAnsi="Arial" w:cs="Arial"/>
        </w:rPr>
        <w:t>tartály</w:t>
      </w:r>
      <w:proofErr w:type="gramEnd"/>
      <w:r w:rsidRPr="00454F9A">
        <w:rPr>
          <w:rFonts w:ascii="Arial" w:hAnsi="Arial" w:cs="Arial"/>
        </w:rPr>
        <w:t xml:space="preserve"> esetén a rajta levő nyílás helyétől, méretétől és alakjától,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berendezés belső </w:t>
      </w:r>
      <w:proofErr w:type="gramStart"/>
      <w:r w:rsidRPr="00454F9A">
        <w:rPr>
          <w:rFonts w:ascii="Arial" w:hAnsi="Arial" w:cs="Arial"/>
        </w:rPr>
        <w:t>strukturális</w:t>
      </w:r>
      <w:proofErr w:type="gramEnd"/>
      <w:r w:rsidRPr="00454F9A">
        <w:rPr>
          <w:rFonts w:ascii="Arial" w:hAnsi="Arial" w:cs="Arial"/>
        </w:rPr>
        <w:t xml:space="preserve"> felépítésétől,</w:t>
      </w:r>
    </w:p>
    <w:p w:rsidR="00302F35" w:rsidRPr="00454F9A" w:rsidRDefault="00302F35" w:rsidP="00454F9A">
      <w:pPr>
        <w:rPr>
          <w:rFonts w:ascii="Arial" w:hAnsi="Arial" w:cs="Arial"/>
        </w:rPr>
      </w:pPr>
      <w:proofErr w:type="gramStart"/>
      <w:r w:rsidRPr="00454F9A">
        <w:rPr>
          <w:rFonts w:ascii="Arial" w:hAnsi="Arial" w:cs="Arial"/>
        </w:rPr>
        <w:t>a</w:t>
      </w:r>
      <w:proofErr w:type="gramEnd"/>
      <w:r w:rsidRPr="00454F9A">
        <w:rPr>
          <w:rFonts w:ascii="Arial" w:hAnsi="Arial" w:cs="Arial"/>
        </w:rPr>
        <w:t xml:space="preserve"> csillapítástól.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gázrobbanások mértéke erősen függ a fentiektől, így elég nehéz előre megbecsülni egy robbanás lefolyását és mértékét. Az elméleti meggondolásokon kívül jellemzésükben nagyon fontosak a gyakorlati mérések. A robbantási kísérletek veszélyes és költséges volta azonban viszonylag </w:t>
      </w:r>
      <w:proofErr w:type="gramStart"/>
      <w:r w:rsidRPr="00454F9A">
        <w:rPr>
          <w:rFonts w:ascii="Arial" w:hAnsi="Arial" w:cs="Arial"/>
        </w:rPr>
        <w:t>kis számú</w:t>
      </w:r>
      <w:proofErr w:type="gramEnd"/>
      <w:r w:rsidRPr="00454F9A">
        <w:rPr>
          <w:rFonts w:ascii="Arial" w:hAnsi="Arial" w:cs="Arial"/>
        </w:rPr>
        <w:t xml:space="preserve"> mérést tesz lehetővé, így szükségessé válik a mérési eredmények között a valóságot minél jobban megközelítő interpolációs eljárások alkalmazása. A gázrobbanások veszélyessége rendkívüli elvárásokat támaszt a robbanásokat leíró adatbázisok adatainak megbízhatóságával szemben.</w:t>
      </w:r>
    </w:p>
    <w:p w:rsidR="00302F35" w:rsidRPr="00454F9A" w:rsidRDefault="00302F35" w:rsidP="00454F9A">
      <w:pPr>
        <w:rPr>
          <w:rFonts w:ascii="Arial" w:hAnsi="Arial" w:cs="Arial"/>
          <w:caps/>
        </w:rPr>
      </w:pPr>
      <w:bookmarkStart w:id="5" w:name="_Toc308106902"/>
      <w:r w:rsidRPr="00454F9A">
        <w:rPr>
          <w:rFonts w:ascii="Arial" w:hAnsi="Arial" w:cs="Arial"/>
          <w:caps/>
        </w:rPr>
        <w:t xml:space="preserve">A robbanáshatár-görbe </w:t>
      </w:r>
      <w:proofErr w:type="gramStart"/>
      <w:r w:rsidRPr="00454F9A">
        <w:rPr>
          <w:rFonts w:ascii="Arial" w:hAnsi="Arial" w:cs="Arial"/>
          <w:caps/>
        </w:rPr>
        <w:t>és</w:t>
      </w:r>
      <w:proofErr w:type="gramEnd"/>
      <w:r w:rsidRPr="00454F9A">
        <w:rPr>
          <w:rFonts w:ascii="Arial" w:hAnsi="Arial" w:cs="Arial"/>
          <w:caps/>
        </w:rPr>
        <w:t xml:space="preserve"> jellemzői</w:t>
      </w:r>
      <w:bookmarkEnd w:id="5"/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Az általunk vizsgált rendszerek háromkomponensűeknek tekinthetőek, általánosan éghetőgáz, inertgáz és 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 </w:t>
      </w:r>
      <w:proofErr w:type="gramStart"/>
      <w:r w:rsidRPr="00454F9A">
        <w:rPr>
          <w:rFonts w:ascii="Arial" w:hAnsi="Arial" w:cs="Arial"/>
        </w:rPr>
        <w:t>komponenseket</w:t>
      </w:r>
      <w:proofErr w:type="gramEnd"/>
      <w:r w:rsidRPr="00454F9A">
        <w:rPr>
          <w:rFonts w:ascii="Arial" w:hAnsi="Arial" w:cs="Arial"/>
        </w:rPr>
        <w:t xml:space="preserve"> tartalmaznak. A háromkomponensű rendszerként való kezelést akkor is alkalmazzák, ha az 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 levegő, esetleg az inertgáz-</w:t>
      </w:r>
      <w:r w:rsidRPr="00454F9A">
        <w:rPr>
          <w:rFonts w:ascii="Arial" w:hAnsi="Arial" w:cs="Arial"/>
        </w:rPr>
        <w:lastRenderedPageBreak/>
        <w:t xml:space="preserve">komponens két gáz meghatározott összetételű keveréke, mint pl. a szénmonoxid/(nitrogén + vízgőz)/levegő, vagy a szénmonoxid/(argon + vízgőz)/levegő rendszerek esetében. A rendszereket leíró adatok az éghetőgáz, az 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 és az inertgáz arányát leíró móltörtek, valamint a kezdeti hőmérséklet és nyomás. Általában </w:t>
      </w:r>
      <w:proofErr w:type="spellStart"/>
      <w:r w:rsidRPr="00454F9A">
        <w:rPr>
          <w:rFonts w:ascii="Arial" w:hAnsi="Arial" w:cs="Arial"/>
        </w:rPr>
        <w:t>izoterm</w:t>
      </w:r>
      <w:proofErr w:type="spellEnd"/>
      <w:r w:rsidRPr="00454F9A">
        <w:rPr>
          <w:rFonts w:ascii="Arial" w:hAnsi="Arial" w:cs="Arial"/>
        </w:rPr>
        <w:t xml:space="preserve"> vagy izobár kísérletsorozatok elvégzésével határozható meg a robbanási tartomány, amelyen belüli éghetőgáz/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/inertgáz arányok robbanásveszélyesek, e tartományon kívül eső gázkeverék arányoknál pedig a gázelegy robbanásbiztos. Az </w:t>
      </w:r>
      <w:proofErr w:type="spellStart"/>
      <w:r w:rsidRPr="00454F9A">
        <w:rPr>
          <w:rFonts w:ascii="Arial" w:hAnsi="Arial" w:cs="Arial"/>
        </w:rPr>
        <w:t>izoterm</w:t>
      </w:r>
      <w:proofErr w:type="spellEnd"/>
      <w:r w:rsidRPr="00454F9A">
        <w:rPr>
          <w:rFonts w:ascii="Arial" w:hAnsi="Arial" w:cs="Arial"/>
        </w:rPr>
        <w:t xml:space="preserve"> és izobár robbanási tartományok ipari felhasználásánál a robbanási határgörbe segítségével célszerűen megválasztott jellemző pontokat és értékeket határoznak meg, amelyek megadásához a robbanási tartományt határoló síkgörbe megfelelő pontosságú leírása szükséges. 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továbbiakban áttekintést adunk az </w:t>
      </w:r>
      <w:proofErr w:type="spellStart"/>
      <w:r w:rsidRPr="00454F9A">
        <w:rPr>
          <w:rFonts w:ascii="Arial" w:hAnsi="Arial" w:cs="Arial"/>
        </w:rPr>
        <w:t>izoterm</w:t>
      </w:r>
      <w:proofErr w:type="spellEnd"/>
      <w:r w:rsidRPr="00454F9A">
        <w:rPr>
          <w:rFonts w:ascii="Arial" w:hAnsi="Arial" w:cs="Arial"/>
        </w:rPr>
        <w:t xml:space="preserve"> és izobár </w:t>
      </w:r>
      <w:proofErr w:type="spellStart"/>
      <w:r w:rsidRPr="00454F9A">
        <w:rPr>
          <w:rFonts w:ascii="Arial" w:hAnsi="Arial" w:cs="Arial"/>
        </w:rPr>
        <w:t>terner</w:t>
      </w:r>
      <w:proofErr w:type="spellEnd"/>
      <w:r w:rsidRPr="00454F9A">
        <w:rPr>
          <w:rFonts w:ascii="Arial" w:hAnsi="Arial" w:cs="Arial"/>
        </w:rPr>
        <w:t xml:space="preserve"> gázelegyek összetételét leíró derékszögű és szabályos háromszögdiagram felépítéséről, majd </w:t>
      </w:r>
      <w:proofErr w:type="gramStart"/>
      <w:r w:rsidRPr="00454F9A">
        <w:rPr>
          <w:rFonts w:ascii="Arial" w:hAnsi="Arial" w:cs="Arial"/>
        </w:rPr>
        <w:t>definiáljuk</w:t>
      </w:r>
      <w:proofErr w:type="gramEnd"/>
      <w:r w:rsidRPr="00454F9A">
        <w:rPr>
          <w:rFonts w:ascii="Arial" w:hAnsi="Arial" w:cs="Arial"/>
        </w:rPr>
        <w:t xml:space="preserve"> a robbanási tartomány alapján meghatározott jellemzőket. Végül a gyakorlatban is alkalmazott interpolációs módszereket mutatjuk be, amelyek segítségével a mért pontokra a robbanási határgörbe illeszthető.</w:t>
      </w:r>
    </w:p>
    <w:p w:rsidR="00302F35" w:rsidRPr="00454F9A" w:rsidRDefault="00302F35" w:rsidP="00454F9A">
      <w:pPr>
        <w:rPr>
          <w:rFonts w:ascii="Arial" w:hAnsi="Arial" w:cs="Arial"/>
          <w:caps/>
        </w:rPr>
      </w:pPr>
      <w:bookmarkStart w:id="6" w:name="_Toc308106903"/>
      <w:r w:rsidRPr="00454F9A">
        <w:rPr>
          <w:rFonts w:ascii="Arial" w:hAnsi="Arial" w:cs="Arial"/>
          <w:caps/>
        </w:rPr>
        <w:t>Terner gázelegyek ábrázolása</w:t>
      </w:r>
      <w:bookmarkEnd w:id="6"/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három </w:t>
      </w:r>
      <w:proofErr w:type="gramStart"/>
      <w:r w:rsidRPr="00454F9A">
        <w:rPr>
          <w:rFonts w:ascii="Arial" w:hAnsi="Arial" w:cs="Arial"/>
        </w:rPr>
        <w:t>komponens különböző</w:t>
      </w:r>
      <w:proofErr w:type="gramEnd"/>
      <w:r w:rsidRPr="00454F9A">
        <w:rPr>
          <w:rFonts w:ascii="Arial" w:hAnsi="Arial" w:cs="Arial"/>
        </w:rPr>
        <w:t xml:space="preserve"> koncentráció-arány állapotainak ábrázolása a harmadik móltört </w:t>
      </w:r>
      <w:r w:rsidRPr="00454F9A">
        <w:rPr>
          <w:rFonts w:ascii="Arial" w:hAnsi="Arial" w:cs="Arial"/>
          <w:i/>
        </w:rPr>
        <w:t>(x</w:t>
      </w:r>
      <w:r w:rsidRPr="00454F9A">
        <w:rPr>
          <w:rFonts w:ascii="Arial" w:hAnsi="Arial" w:cs="Arial"/>
          <w:i/>
          <w:vertAlign w:val="subscript"/>
        </w:rPr>
        <w:t>3</w:t>
      </w:r>
      <w:r w:rsidRPr="00454F9A">
        <w:rPr>
          <w:rFonts w:ascii="Arial" w:hAnsi="Arial" w:cs="Arial"/>
          <w:i/>
        </w:rPr>
        <w:t>=1-x</w:t>
      </w:r>
      <w:r w:rsidRPr="00454F9A">
        <w:rPr>
          <w:rFonts w:ascii="Arial" w:hAnsi="Arial" w:cs="Arial"/>
          <w:i/>
          <w:vertAlign w:val="subscript"/>
        </w:rPr>
        <w:t>1</w:t>
      </w:r>
      <w:r w:rsidRPr="00454F9A">
        <w:rPr>
          <w:rFonts w:ascii="Arial" w:hAnsi="Arial" w:cs="Arial"/>
          <w:i/>
        </w:rPr>
        <w:t>-x</w:t>
      </w:r>
      <w:r w:rsidRPr="00454F9A">
        <w:rPr>
          <w:rFonts w:ascii="Arial" w:hAnsi="Arial" w:cs="Arial"/>
          <w:i/>
          <w:vertAlign w:val="subscript"/>
        </w:rPr>
        <w:t>2</w:t>
      </w:r>
      <w:r w:rsidRPr="00454F9A">
        <w:rPr>
          <w:rFonts w:ascii="Arial" w:hAnsi="Arial" w:cs="Arial"/>
          <w:i/>
        </w:rPr>
        <w:t>)</w:t>
      </w:r>
      <w:r w:rsidRPr="00454F9A">
        <w:rPr>
          <w:rFonts w:ascii="Arial" w:hAnsi="Arial" w:cs="Arial"/>
        </w:rPr>
        <w:t xml:space="preserve"> függése miatt síkban történik – vagy a derékszögű koordinátarendszerben megadott alapszimplexen, vagy pedig szabályos háromszögön, ahol minden egyes komponensnek a háromszög egy-egy csúcsa felel meg, az oldalakon pedig a kétkomponensű rendszerek összetétele olvasható le.</w:t>
      </w:r>
    </w:p>
    <w:p w:rsidR="00302F35" w:rsidRPr="00454F9A" w:rsidRDefault="00302F35" w:rsidP="00454F9A">
      <w:pPr>
        <w:rPr>
          <w:rFonts w:ascii="Arial" w:hAnsi="Arial" w:cs="Arial"/>
        </w:rPr>
      </w:pPr>
    </w:p>
    <w:p w:rsidR="00302F35" w:rsidRPr="00454F9A" w:rsidRDefault="00302F35" w:rsidP="00454F9A">
      <w:pPr>
        <w:rPr>
          <w:rFonts w:ascii="Arial" w:hAnsi="Arial" w:cs="Arial"/>
          <w:b/>
        </w:rPr>
      </w:pPr>
      <w:bookmarkStart w:id="7" w:name="_Toc308106910"/>
      <w:r w:rsidRPr="00454F9A">
        <w:rPr>
          <w:rFonts w:ascii="Arial" w:hAnsi="Arial" w:cs="Arial"/>
          <w:highlight w:val="magenta"/>
        </w:rPr>
        <w:t>1. ábra</w:t>
      </w:r>
      <w:r w:rsidRPr="00454F9A">
        <w:rPr>
          <w:rFonts w:ascii="Arial" w:hAnsi="Arial" w:cs="Arial"/>
        </w:rPr>
        <w:t>: Derékszögű diagram</w:t>
      </w:r>
      <w:bookmarkEnd w:id="7"/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Az </w:t>
      </w:r>
      <w:r w:rsidRPr="00454F9A">
        <w:rPr>
          <w:rFonts w:ascii="Arial" w:hAnsi="Arial" w:cs="Arial"/>
          <w:highlight w:val="yellow"/>
        </w:rPr>
        <w:t>1. ábra</w:t>
      </w:r>
      <w:r w:rsidRPr="00454F9A">
        <w:rPr>
          <w:rFonts w:ascii="Arial" w:hAnsi="Arial" w:cs="Arial"/>
        </w:rPr>
        <w:t xml:space="preserve"> egy robbanási tartomány derékszögű diagramban való ábrázolását mutatja be. A diagram függőleges tengelyéről az éghetőgáz, vízszintes tengelyéről pedig az inertgáz </w:t>
      </w:r>
      <w:proofErr w:type="gramStart"/>
      <w:r w:rsidRPr="00454F9A">
        <w:rPr>
          <w:rFonts w:ascii="Arial" w:hAnsi="Arial" w:cs="Arial"/>
        </w:rPr>
        <w:t>koncentrációt</w:t>
      </w:r>
      <w:proofErr w:type="gramEnd"/>
      <w:r w:rsidRPr="00454F9A">
        <w:rPr>
          <w:rFonts w:ascii="Arial" w:hAnsi="Arial" w:cs="Arial"/>
        </w:rPr>
        <w:t xml:space="preserve"> lehet leolvasni. A harmadik, 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- (a </w:t>
      </w:r>
      <w:proofErr w:type="gramStart"/>
      <w:r w:rsidRPr="00454F9A">
        <w:rPr>
          <w:rFonts w:ascii="Arial" w:hAnsi="Arial" w:cs="Arial"/>
        </w:rPr>
        <w:t>konkrét</w:t>
      </w:r>
      <w:proofErr w:type="gramEnd"/>
      <w:r w:rsidRPr="00454F9A">
        <w:rPr>
          <w:rFonts w:ascii="Arial" w:hAnsi="Arial" w:cs="Arial"/>
        </w:rPr>
        <w:t xml:space="preserve"> esetben levegő-) koncentráció az előbbi kettő ismeretében kiszámítható. A szürkével kitöltött terület a robbanásveszélyes tartomány, az ezen kívül eső területen a három </w:t>
      </w:r>
      <w:proofErr w:type="gramStart"/>
      <w:r w:rsidRPr="00454F9A">
        <w:rPr>
          <w:rFonts w:ascii="Arial" w:hAnsi="Arial" w:cs="Arial"/>
        </w:rPr>
        <w:t>komponens</w:t>
      </w:r>
      <w:proofErr w:type="gramEnd"/>
      <w:r w:rsidRPr="00454F9A">
        <w:rPr>
          <w:rFonts w:ascii="Arial" w:hAnsi="Arial" w:cs="Arial"/>
        </w:rPr>
        <w:t xml:space="preserve"> nem alkot robbanó elegyet. A robbanásveszélyes tartományt határoló kék színű görbe a robbanáshatár-görbe, amelyen a piros háromszögek mért pontokat jelölnek, a görbe többi pontját interpolációval határozzák meg. A robbanási tartományt jellemző berajzolt egyenesek jelentését a későbbiekben ismertetjük.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</w:t>
      </w:r>
      <w:r w:rsidRPr="00454F9A">
        <w:rPr>
          <w:rFonts w:ascii="Arial" w:hAnsi="Arial" w:cs="Arial"/>
          <w:highlight w:val="yellow"/>
        </w:rPr>
        <w:t>2. ábra</w:t>
      </w:r>
      <w:r w:rsidRPr="00454F9A">
        <w:rPr>
          <w:rFonts w:ascii="Arial" w:hAnsi="Arial" w:cs="Arial"/>
        </w:rPr>
        <w:t xml:space="preserve"> ugyanezt a robbanási tartományt mutatja szabályos háromszög diagramon. Ez az ábrázolási mód közvetlen lehetőséget biztosít a harmadik </w:t>
      </w:r>
      <w:proofErr w:type="gramStart"/>
      <w:r w:rsidRPr="00454F9A">
        <w:rPr>
          <w:rFonts w:ascii="Arial" w:hAnsi="Arial" w:cs="Arial"/>
        </w:rPr>
        <w:t>komponens</w:t>
      </w:r>
      <w:proofErr w:type="gramEnd"/>
      <w:r w:rsidRPr="00454F9A">
        <w:rPr>
          <w:rFonts w:ascii="Arial" w:hAnsi="Arial" w:cs="Arial"/>
        </w:rPr>
        <w:t xml:space="preserve"> százalékos értékének leolvasására.</w:t>
      </w:r>
    </w:p>
    <w:p w:rsidR="00302F35" w:rsidRPr="00454F9A" w:rsidRDefault="00302F35" w:rsidP="00454F9A">
      <w:pPr>
        <w:rPr>
          <w:rFonts w:ascii="Arial" w:hAnsi="Arial" w:cs="Arial"/>
        </w:rPr>
      </w:pPr>
    </w:p>
    <w:p w:rsidR="00302F35" w:rsidRPr="00454F9A" w:rsidRDefault="00302F35" w:rsidP="00454F9A">
      <w:pPr>
        <w:rPr>
          <w:rFonts w:ascii="Arial" w:hAnsi="Arial" w:cs="Arial"/>
          <w:b/>
        </w:rPr>
      </w:pPr>
      <w:bookmarkStart w:id="8" w:name="_Toc308106911"/>
      <w:r w:rsidRPr="00454F9A">
        <w:rPr>
          <w:rFonts w:ascii="Arial" w:hAnsi="Arial" w:cs="Arial"/>
          <w:highlight w:val="magenta"/>
        </w:rPr>
        <w:t>2. ábra</w:t>
      </w:r>
      <w:r w:rsidRPr="00454F9A">
        <w:rPr>
          <w:rFonts w:ascii="Arial" w:hAnsi="Arial" w:cs="Arial"/>
        </w:rPr>
        <w:t>: Szabályos háromszög diagram</w:t>
      </w:r>
      <w:bookmarkEnd w:id="8"/>
    </w:p>
    <w:p w:rsidR="00302F35" w:rsidRPr="00454F9A" w:rsidRDefault="00454F9A" w:rsidP="00454F9A">
      <w:pPr>
        <w:rPr>
          <w:rFonts w:ascii="Arial" w:hAnsi="Arial" w:cs="Arial"/>
          <w:caps/>
        </w:rPr>
      </w:pPr>
      <w:bookmarkStart w:id="9" w:name="_Ref16472174"/>
      <w:bookmarkStart w:id="10" w:name="_Toc308106904"/>
      <w:r w:rsidRPr="00454F9A">
        <w:rPr>
          <w:rFonts w:ascii="Arial" w:hAnsi="Arial" w:cs="Arial"/>
        </w:rPr>
        <w:t>ROBBANÁSI HATÁRGÖRBE JELLEMZŐ ÉRTÉKEI</w:t>
      </w:r>
      <w:bookmarkEnd w:id="9"/>
      <w:bookmarkEnd w:id="10"/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robbanási határgörbe pontos ismerete fontos, de a gyakorlati alkalmazások során sokszor hatékonyabb egy-egy numerikus korlát, jellemző érték ismerete. A robbanási határgörbéket </w:t>
      </w:r>
      <w:r w:rsidRPr="00454F9A">
        <w:rPr>
          <w:rFonts w:ascii="Arial" w:hAnsi="Arial" w:cs="Arial"/>
        </w:rPr>
        <w:lastRenderedPageBreak/>
        <w:t xml:space="preserve">három </w:t>
      </w:r>
      <w:proofErr w:type="gramStart"/>
      <w:r w:rsidRPr="00454F9A">
        <w:rPr>
          <w:rFonts w:ascii="Arial" w:hAnsi="Arial" w:cs="Arial"/>
        </w:rPr>
        <w:t>limitáló</w:t>
      </w:r>
      <w:proofErr w:type="gramEnd"/>
      <w:r w:rsidRPr="00454F9A">
        <w:rPr>
          <w:rFonts w:ascii="Arial" w:hAnsi="Arial" w:cs="Arial"/>
        </w:rPr>
        <w:t xml:space="preserve"> aránnyal és ezekhez tartozó határoló-értékekkel szokták jellemezni [</w:t>
      </w:r>
      <w:r w:rsidRPr="00045864">
        <w:rPr>
          <w:rFonts w:ascii="Arial" w:hAnsi="Arial" w:cs="Arial"/>
        </w:rPr>
        <w:t>1, 2, 4</w:t>
      </w:r>
      <w:bookmarkStart w:id="11" w:name="_GoBack"/>
      <w:bookmarkEnd w:id="11"/>
      <w:r w:rsidRPr="00454F9A">
        <w:rPr>
          <w:rFonts w:ascii="Arial" w:hAnsi="Arial" w:cs="Arial"/>
        </w:rPr>
        <w:t xml:space="preserve">], ezeket ismertetjük az alábbiakban. Pontosabb megértésükhöz segítséget nyújt az </w:t>
      </w:r>
      <w:r w:rsidRPr="00454F9A">
        <w:rPr>
          <w:rFonts w:ascii="Arial" w:hAnsi="Arial" w:cs="Arial"/>
          <w:highlight w:val="yellow"/>
        </w:rPr>
        <w:t>1. ábra</w:t>
      </w:r>
      <w:r w:rsidRPr="00454F9A">
        <w:rPr>
          <w:rFonts w:ascii="Arial" w:hAnsi="Arial" w:cs="Arial"/>
        </w:rPr>
        <w:t xml:space="preserve"> és a </w:t>
      </w:r>
      <w:r w:rsidRPr="00454F9A">
        <w:rPr>
          <w:rFonts w:ascii="Arial" w:hAnsi="Arial" w:cs="Arial"/>
          <w:highlight w:val="yellow"/>
        </w:rPr>
        <w:t>2. ábra</w:t>
      </w:r>
      <w:r w:rsidRPr="00454F9A">
        <w:rPr>
          <w:rFonts w:ascii="Arial" w:hAnsi="Arial" w:cs="Arial"/>
        </w:rPr>
        <w:t>.</w:t>
      </w:r>
    </w:p>
    <w:p w:rsidR="00302F35" w:rsidRPr="00454F9A" w:rsidRDefault="00302F35" w:rsidP="00454F9A">
      <w:pPr>
        <w:rPr>
          <w:rFonts w:ascii="Arial" w:hAnsi="Arial" w:cs="Arial"/>
          <w:b/>
        </w:rPr>
      </w:pPr>
      <w:proofErr w:type="gramStart"/>
      <w:r w:rsidRPr="00454F9A">
        <w:rPr>
          <w:rFonts w:ascii="Arial" w:hAnsi="Arial" w:cs="Arial"/>
          <w:b/>
        </w:rPr>
        <w:t>Minimális</w:t>
      </w:r>
      <w:proofErr w:type="gramEnd"/>
      <w:r w:rsidRPr="00454F9A">
        <w:rPr>
          <w:rFonts w:ascii="Arial" w:hAnsi="Arial" w:cs="Arial"/>
          <w:b/>
        </w:rPr>
        <w:t xml:space="preserve"> inertgáz-éghetőgáz arány (ICR)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Az </w:t>
      </w:r>
      <w:r w:rsidRPr="00454F9A">
        <w:rPr>
          <w:rFonts w:ascii="Arial" w:hAnsi="Arial" w:cs="Arial"/>
          <w:b/>
        </w:rPr>
        <w:t>ICR</w:t>
      </w:r>
      <w:r w:rsidRPr="00454F9A">
        <w:rPr>
          <w:rFonts w:ascii="Arial" w:hAnsi="Arial" w:cs="Arial"/>
        </w:rPr>
        <w:t xml:space="preserve"> (Inert </w:t>
      </w:r>
      <w:proofErr w:type="spellStart"/>
      <w:r w:rsidRPr="00454F9A">
        <w:rPr>
          <w:rFonts w:ascii="Arial" w:hAnsi="Arial" w:cs="Arial"/>
        </w:rPr>
        <w:t>gas</w:t>
      </w:r>
      <w:proofErr w:type="spellEnd"/>
      <w:r w:rsidRPr="00454F9A">
        <w:rPr>
          <w:rFonts w:ascii="Arial" w:hAnsi="Arial" w:cs="Arial"/>
        </w:rPr>
        <w:t>/</w:t>
      </w:r>
      <w:proofErr w:type="spellStart"/>
      <w:r w:rsidRPr="00454F9A">
        <w:rPr>
          <w:rFonts w:ascii="Arial" w:hAnsi="Arial" w:cs="Arial"/>
        </w:rPr>
        <w:t>Combustible</w:t>
      </w:r>
      <w:proofErr w:type="spellEnd"/>
      <w:r w:rsidRPr="00454F9A">
        <w:rPr>
          <w:rFonts w:ascii="Arial" w:hAnsi="Arial" w:cs="Arial"/>
        </w:rPr>
        <w:t xml:space="preserve"> </w:t>
      </w:r>
      <w:proofErr w:type="spellStart"/>
      <w:r w:rsidRPr="00454F9A">
        <w:rPr>
          <w:rFonts w:ascii="Arial" w:hAnsi="Arial" w:cs="Arial"/>
        </w:rPr>
        <w:t>gas</w:t>
      </w:r>
      <w:proofErr w:type="spellEnd"/>
      <w:r w:rsidRPr="00454F9A">
        <w:rPr>
          <w:rFonts w:ascii="Arial" w:hAnsi="Arial" w:cs="Arial"/>
        </w:rPr>
        <w:t xml:space="preserve"> Ratio) egyenes egy </w:t>
      </w:r>
      <w:r w:rsidRPr="00454F9A">
        <w:rPr>
          <w:rFonts w:ascii="Arial" w:hAnsi="Arial" w:cs="Arial"/>
          <w:b/>
        </w:rPr>
        <w:t>olyan arány-korlátot jelent</w:t>
      </w:r>
      <w:r w:rsidRPr="00454F9A">
        <w:rPr>
          <w:rFonts w:ascii="Arial" w:hAnsi="Arial" w:cs="Arial"/>
        </w:rPr>
        <w:t xml:space="preserve"> az inertgáz és éghetőgáz között, </w:t>
      </w:r>
      <w:r w:rsidRPr="00454F9A">
        <w:rPr>
          <w:rFonts w:ascii="Arial" w:hAnsi="Arial" w:cs="Arial"/>
          <w:b/>
        </w:rPr>
        <w:t>amely esetén</w:t>
      </w:r>
      <w:r w:rsidRPr="00454F9A">
        <w:rPr>
          <w:rFonts w:ascii="Arial" w:hAnsi="Arial" w:cs="Arial"/>
        </w:rPr>
        <w:t xml:space="preserve"> </w:t>
      </w:r>
      <w:r w:rsidRPr="00454F9A">
        <w:rPr>
          <w:rFonts w:ascii="Arial" w:hAnsi="Arial" w:cs="Arial"/>
          <w:b/>
        </w:rPr>
        <w:t xml:space="preserve">további </w:t>
      </w:r>
      <w:proofErr w:type="spellStart"/>
      <w:r w:rsidRPr="00454F9A">
        <w:rPr>
          <w:rFonts w:ascii="Arial" w:hAnsi="Arial" w:cs="Arial"/>
          <w:b/>
          <w:i/>
        </w:rPr>
        <w:t>oxidátor</w:t>
      </w:r>
      <w:proofErr w:type="spellEnd"/>
      <w:r w:rsidRPr="00454F9A">
        <w:rPr>
          <w:rFonts w:ascii="Arial" w:hAnsi="Arial" w:cs="Arial"/>
          <w:b/>
        </w:rPr>
        <w:t xml:space="preserve"> hozzáadása már nem okozhat robbanást</w:t>
      </w:r>
      <w:r w:rsidRPr="00454F9A">
        <w:rPr>
          <w:rFonts w:ascii="Arial" w:hAnsi="Arial" w:cs="Arial"/>
        </w:rPr>
        <w:t>.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Az ICR egyenes meghatározása a nyomással és hőmérséklettel paraméterezett robbanáshatár-görbéhez a háromszögdiagram 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-csúcsán keresztülhaladó érintő megadását jelenti. Erre a vonalra esnek azok az összetételek, amelyek úgy kaphatóak, hogy az érintő pontban lévő elegyhez egyre nagyobb mennyiségű </w:t>
      </w:r>
      <w:proofErr w:type="spellStart"/>
      <w:r w:rsidRPr="00454F9A">
        <w:rPr>
          <w:rFonts w:ascii="Arial" w:hAnsi="Arial" w:cs="Arial"/>
        </w:rPr>
        <w:t>oxidátort</w:t>
      </w:r>
      <w:proofErr w:type="spellEnd"/>
      <w:r w:rsidRPr="00454F9A">
        <w:rPr>
          <w:rFonts w:ascii="Arial" w:hAnsi="Arial" w:cs="Arial"/>
        </w:rPr>
        <w:t xml:space="preserve"> kevernek, így aszimptotikusan közeledve a diagram csúcsához.</w:t>
      </w:r>
    </w:p>
    <w:p w:rsidR="00302F35" w:rsidRPr="00454F9A" w:rsidRDefault="00302F35" w:rsidP="00454F9A">
      <w:pPr>
        <w:rPr>
          <w:rFonts w:ascii="Arial" w:hAnsi="Arial" w:cs="Arial"/>
          <w:b/>
        </w:rPr>
      </w:pPr>
      <w:proofErr w:type="gramStart"/>
      <w:r w:rsidRPr="00454F9A">
        <w:rPr>
          <w:rFonts w:ascii="Arial" w:hAnsi="Arial" w:cs="Arial"/>
          <w:b/>
        </w:rPr>
        <w:t>Maximálisan</w:t>
      </w:r>
      <w:proofErr w:type="gramEnd"/>
      <w:r w:rsidRPr="00454F9A">
        <w:rPr>
          <w:rFonts w:ascii="Arial" w:hAnsi="Arial" w:cs="Arial"/>
          <w:b/>
        </w:rPr>
        <w:t xml:space="preserve"> megengedhető éghetőgáz (MXC)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Ha az ICR érintőt a háromszög diagram inertgáz-éghetőgáz </w:t>
      </w:r>
      <w:proofErr w:type="spellStart"/>
      <w:r w:rsidRPr="00454F9A">
        <w:rPr>
          <w:rFonts w:ascii="Arial" w:hAnsi="Arial" w:cs="Arial"/>
        </w:rPr>
        <w:t>biner</w:t>
      </w:r>
      <w:proofErr w:type="spellEnd"/>
      <w:r w:rsidRPr="00454F9A">
        <w:rPr>
          <w:rFonts w:ascii="Arial" w:hAnsi="Arial" w:cs="Arial"/>
        </w:rPr>
        <w:t xml:space="preserve"> oldaláig meghosszabbítjuk, a metszéspontban kapjuk az MXC (Maximum </w:t>
      </w:r>
      <w:proofErr w:type="spellStart"/>
      <w:r w:rsidRPr="00454F9A">
        <w:rPr>
          <w:rFonts w:ascii="Arial" w:hAnsi="Arial" w:cs="Arial"/>
        </w:rPr>
        <w:t>Combustible</w:t>
      </w:r>
      <w:proofErr w:type="spellEnd"/>
      <w:r w:rsidRPr="00454F9A">
        <w:rPr>
          <w:rFonts w:ascii="Arial" w:hAnsi="Arial" w:cs="Arial"/>
        </w:rPr>
        <w:t xml:space="preserve"> </w:t>
      </w:r>
      <w:proofErr w:type="spellStart"/>
      <w:r w:rsidRPr="00454F9A">
        <w:rPr>
          <w:rFonts w:ascii="Arial" w:hAnsi="Arial" w:cs="Arial"/>
        </w:rPr>
        <w:t>gas</w:t>
      </w:r>
      <w:proofErr w:type="spellEnd"/>
      <w:r w:rsidRPr="00454F9A">
        <w:rPr>
          <w:rFonts w:ascii="Arial" w:hAnsi="Arial" w:cs="Arial"/>
        </w:rPr>
        <w:t xml:space="preserve">) pontot. Ez az éghetőgáz/inertgáz keveréknek azon maximális éghetőgáz </w:t>
      </w:r>
      <w:proofErr w:type="gramStart"/>
      <w:r w:rsidRPr="00454F9A">
        <w:rPr>
          <w:rFonts w:ascii="Arial" w:hAnsi="Arial" w:cs="Arial"/>
        </w:rPr>
        <w:t>koncentrációja</w:t>
      </w:r>
      <w:proofErr w:type="gramEnd"/>
      <w:r w:rsidRPr="00454F9A">
        <w:rPr>
          <w:rFonts w:ascii="Arial" w:hAnsi="Arial" w:cs="Arial"/>
        </w:rPr>
        <w:t xml:space="preserve">, amelyhez további 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 hozzáadása már nem okozhat robbanást.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robbanáshatár-görbe az ICR határvonalnak a háromszög 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-inertgáz </w:t>
      </w:r>
      <w:proofErr w:type="spellStart"/>
      <w:r w:rsidRPr="00454F9A">
        <w:rPr>
          <w:rFonts w:ascii="Arial" w:hAnsi="Arial" w:cs="Arial"/>
        </w:rPr>
        <w:t>biner</w:t>
      </w:r>
      <w:proofErr w:type="spellEnd"/>
      <w:r w:rsidRPr="00454F9A">
        <w:rPr>
          <w:rFonts w:ascii="Arial" w:hAnsi="Arial" w:cs="Arial"/>
        </w:rPr>
        <w:t xml:space="preserve"> oldalához képest mindig a "másik" oldalán lesz, amiből az következik, hogy az ICR egyenes MXC végpontja valamint az inertgáz és az 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 csúcsok által meghatározott háromszögben nincs robbanékony gázelegy, ez tehát szűkebb értelemben vett robbanásbiztos terület.</w:t>
      </w:r>
    </w:p>
    <w:p w:rsidR="00302F35" w:rsidRPr="00454F9A" w:rsidRDefault="00302F35" w:rsidP="00454F9A">
      <w:pPr>
        <w:rPr>
          <w:rFonts w:ascii="Arial" w:hAnsi="Arial" w:cs="Arial"/>
          <w:b/>
        </w:rPr>
      </w:pPr>
      <w:proofErr w:type="gramStart"/>
      <w:r w:rsidRPr="00454F9A">
        <w:rPr>
          <w:rFonts w:ascii="Arial" w:hAnsi="Arial" w:cs="Arial"/>
          <w:b/>
        </w:rPr>
        <w:t>Minimális</w:t>
      </w:r>
      <w:proofErr w:type="gramEnd"/>
      <w:r w:rsidRPr="00454F9A">
        <w:rPr>
          <w:rFonts w:ascii="Arial" w:hAnsi="Arial" w:cs="Arial"/>
          <w:b/>
        </w:rPr>
        <w:t xml:space="preserve"> inertgáz-</w:t>
      </w:r>
      <w:proofErr w:type="spellStart"/>
      <w:r w:rsidRPr="00454F9A">
        <w:rPr>
          <w:rFonts w:ascii="Arial" w:hAnsi="Arial" w:cs="Arial"/>
          <w:b/>
        </w:rPr>
        <w:t>oxidátor</w:t>
      </w:r>
      <w:proofErr w:type="spellEnd"/>
      <w:r w:rsidRPr="00454F9A">
        <w:rPr>
          <w:rFonts w:ascii="Arial" w:hAnsi="Arial" w:cs="Arial"/>
          <w:b/>
        </w:rPr>
        <w:t xml:space="preserve"> arány (IAR)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Az ICR egyeneshez hasonló gondolatmenettel írható le az </w:t>
      </w:r>
      <w:r w:rsidRPr="00454F9A">
        <w:rPr>
          <w:rFonts w:ascii="Arial" w:hAnsi="Arial" w:cs="Arial"/>
          <w:b/>
        </w:rPr>
        <w:t>IAR</w:t>
      </w:r>
      <w:r w:rsidRPr="00454F9A">
        <w:rPr>
          <w:rFonts w:ascii="Arial" w:hAnsi="Arial" w:cs="Arial"/>
        </w:rPr>
        <w:t xml:space="preserve"> (Inert </w:t>
      </w:r>
      <w:proofErr w:type="spellStart"/>
      <w:r w:rsidRPr="00454F9A">
        <w:rPr>
          <w:rFonts w:ascii="Arial" w:hAnsi="Arial" w:cs="Arial"/>
        </w:rPr>
        <w:t>gas</w:t>
      </w:r>
      <w:proofErr w:type="spellEnd"/>
      <w:r w:rsidRPr="00454F9A">
        <w:rPr>
          <w:rFonts w:ascii="Arial" w:hAnsi="Arial" w:cs="Arial"/>
        </w:rPr>
        <w:t>/Air (</w:t>
      </w:r>
      <w:proofErr w:type="spellStart"/>
      <w:r w:rsidRPr="00454F9A">
        <w:rPr>
          <w:rFonts w:ascii="Arial" w:hAnsi="Arial" w:cs="Arial"/>
        </w:rPr>
        <w:t>oxidator</w:t>
      </w:r>
      <w:proofErr w:type="spellEnd"/>
      <w:r w:rsidRPr="00454F9A">
        <w:rPr>
          <w:rFonts w:ascii="Arial" w:hAnsi="Arial" w:cs="Arial"/>
        </w:rPr>
        <w:t>) Ratio) vonal. Ez az egyenes az alábbi értelemben jelent határt az éghetőgáz/inertgáz/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 rendszerben: az ezen az egyenesen kívül eső (az ábra szerinti tengely elhelyezkedés esetén az </w:t>
      </w:r>
      <w:r w:rsidRPr="00454F9A">
        <w:rPr>
          <w:rFonts w:ascii="Arial" w:hAnsi="Arial" w:cs="Arial"/>
          <w:b/>
        </w:rPr>
        <w:t xml:space="preserve">egyenestől </w:t>
      </w:r>
      <w:r w:rsidRPr="00454F9A">
        <w:rPr>
          <w:rFonts w:ascii="Arial" w:hAnsi="Arial" w:cs="Arial"/>
          <w:b/>
          <w:i/>
        </w:rPr>
        <w:t>jobbra</w:t>
      </w:r>
      <w:r w:rsidRPr="00454F9A">
        <w:rPr>
          <w:rFonts w:ascii="Arial" w:hAnsi="Arial" w:cs="Arial"/>
          <w:b/>
        </w:rPr>
        <w:t xml:space="preserve"> eső) </w:t>
      </w:r>
      <w:proofErr w:type="gramStart"/>
      <w:r w:rsidRPr="00454F9A">
        <w:rPr>
          <w:rFonts w:ascii="Arial" w:hAnsi="Arial" w:cs="Arial"/>
          <w:b/>
        </w:rPr>
        <w:t>koncentráció</w:t>
      </w:r>
      <w:proofErr w:type="gramEnd"/>
      <w:r w:rsidRPr="00454F9A">
        <w:rPr>
          <w:rFonts w:ascii="Arial" w:hAnsi="Arial" w:cs="Arial"/>
          <w:b/>
        </w:rPr>
        <w:t xml:space="preserve"> értékeknél</w:t>
      </w:r>
      <w:r w:rsidRPr="00454F9A">
        <w:rPr>
          <w:rFonts w:ascii="Arial" w:hAnsi="Arial" w:cs="Arial"/>
        </w:rPr>
        <w:t xml:space="preserve"> </w:t>
      </w:r>
      <w:r w:rsidRPr="00454F9A">
        <w:rPr>
          <w:rFonts w:ascii="Arial" w:hAnsi="Arial" w:cs="Arial"/>
          <w:b/>
        </w:rPr>
        <w:t xml:space="preserve">további </w:t>
      </w:r>
      <w:r w:rsidRPr="00454F9A">
        <w:rPr>
          <w:rFonts w:ascii="Arial" w:hAnsi="Arial" w:cs="Arial"/>
          <w:b/>
          <w:i/>
        </w:rPr>
        <w:t>éghetőgáz</w:t>
      </w:r>
      <w:r w:rsidRPr="00454F9A">
        <w:rPr>
          <w:rFonts w:ascii="Arial" w:hAnsi="Arial" w:cs="Arial"/>
          <w:b/>
        </w:rPr>
        <w:t xml:space="preserve"> hozzáadása</w:t>
      </w:r>
      <w:r w:rsidRPr="00454F9A">
        <w:rPr>
          <w:rFonts w:ascii="Arial" w:hAnsi="Arial" w:cs="Arial"/>
        </w:rPr>
        <w:t xml:space="preserve"> </w:t>
      </w:r>
      <w:r w:rsidRPr="00454F9A">
        <w:rPr>
          <w:rFonts w:ascii="Arial" w:hAnsi="Arial" w:cs="Arial"/>
          <w:b/>
        </w:rPr>
        <w:t>már nem okozhat robbanást</w:t>
      </w:r>
      <w:r w:rsidRPr="00454F9A">
        <w:rPr>
          <w:rFonts w:ascii="Arial" w:hAnsi="Arial" w:cs="Arial"/>
        </w:rPr>
        <w:t xml:space="preserve">. 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>Az IAR vonal a robbanáshatár-görbe fordulópontján és az éghetőgáz csúcsponton keresztül haladó egyenes.</w:t>
      </w:r>
    </w:p>
    <w:p w:rsidR="00302F35" w:rsidRPr="00454F9A" w:rsidRDefault="00302F35" w:rsidP="00454F9A">
      <w:pPr>
        <w:rPr>
          <w:rFonts w:ascii="Arial" w:hAnsi="Arial" w:cs="Arial"/>
          <w:b/>
        </w:rPr>
      </w:pPr>
      <w:proofErr w:type="gramStart"/>
      <w:r w:rsidRPr="00454F9A">
        <w:rPr>
          <w:rFonts w:ascii="Arial" w:hAnsi="Arial" w:cs="Arial"/>
          <w:b/>
        </w:rPr>
        <w:t>Minimálisan</w:t>
      </w:r>
      <w:proofErr w:type="gramEnd"/>
      <w:r w:rsidRPr="00454F9A">
        <w:rPr>
          <w:rFonts w:ascii="Arial" w:hAnsi="Arial" w:cs="Arial"/>
          <w:b/>
        </w:rPr>
        <w:t xml:space="preserve"> szükséges inertgáz (MAI)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Az MAI (Maximum Air-Inert </w:t>
      </w:r>
      <w:proofErr w:type="spellStart"/>
      <w:r w:rsidRPr="00454F9A">
        <w:rPr>
          <w:rFonts w:ascii="Arial" w:hAnsi="Arial" w:cs="Arial"/>
        </w:rPr>
        <w:t>gas</w:t>
      </w:r>
      <w:proofErr w:type="spellEnd"/>
      <w:r w:rsidRPr="00454F9A">
        <w:rPr>
          <w:rFonts w:ascii="Arial" w:hAnsi="Arial" w:cs="Arial"/>
        </w:rPr>
        <w:t xml:space="preserve"> Concentration) érték az inertgáz/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 keveréknek azon </w:t>
      </w:r>
      <w:proofErr w:type="gramStart"/>
      <w:r w:rsidRPr="00454F9A">
        <w:rPr>
          <w:rFonts w:ascii="Arial" w:hAnsi="Arial" w:cs="Arial"/>
        </w:rPr>
        <w:t>minimális</w:t>
      </w:r>
      <w:proofErr w:type="gramEnd"/>
      <w:r w:rsidRPr="00454F9A">
        <w:rPr>
          <w:rFonts w:ascii="Arial" w:hAnsi="Arial" w:cs="Arial"/>
        </w:rPr>
        <w:t xml:space="preserve"> inertgáz koncentrációja, amelyhez további éghetőgáz hozzáadása már nem okozhat robbanást. Az MXC ponthoz hasonlóan, ennek meghatározásához az IAR vonalat kell meghosszabbítani egészen az 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-inertgáz </w:t>
      </w:r>
      <w:proofErr w:type="spellStart"/>
      <w:r w:rsidRPr="00454F9A">
        <w:rPr>
          <w:rFonts w:ascii="Arial" w:hAnsi="Arial" w:cs="Arial"/>
        </w:rPr>
        <w:t>biner</w:t>
      </w:r>
      <w:proofErr w:type="spellEnd"/>
      <w:r w:rsidRPr="00454F9A">
        <w:rPr>
          <w:rFonts w:ascii="Arial" w:hAnsi="Arial" w:cs="Arial"/>
        </w:rPr>
        <w:t xml:space="preserve"> oldalig, a kettő metszéspontja adja a </w:t>
      </w:r>
      <w:proofErr w:type="gramStart"/>
      <w:r w:rsidRPr="00454F9A">
        <w:rPr>
          <w:rFonts w:ascii="Arial" w:hAnsi="Arial" w:cs="Arial"/>
        </w:rPr>
        <w:t>minimálisan</w:t>
      </w:r>
      <w:proofErr w:type="gramEnd"/>
      <w:r w:rsidRPr="00454F9A">
        <w:rPr>
          <w:rFonts w:ascii="Arial" w:hAnsi="Arial" w:cs="Arial"/>
        </w:rPr>
        <w:t xml:space="preserve"> szükséges inertgáz értéket.</w:t>
      </w:r>
    </w:p>
    <w:p w:rsidR="00302F35" w:rsidRPr="00454F9A" w:rsidRDefault="00302F35" w:rsidP="00454F9A">
      <w:pPr>
        <w:rPr>
          <w:rFonts w:ascii="Arial" w:hAnsi="Arial" w:cs="Arial"/>
          <w:b/>
        </w:rPr>
      </w:pPr>
      <w:r w:rsidRPr="00454F9A">
        <w:rPr>
          <w:rFonts w:ascii="Arial" w:hAnsi="Arial" w:cs="Arial"/>
          <w:b/>
        </w:rPr>
        <w:t xml:space="preserve">Maximális oxigén (vagy </w:t>
      </w:r>
      <w:proofErr w:type="spellStart"/>
      <w:r w:rsidRPr="00454F9A">
        <w:rPr>
          <w:rFonts w:ascii="Arial" w:hAnsi="Arial" w:cs="Arial"/>
          <w:b/>
        </w:rPr>
        <w:t>oxidátor</w:t>
      </w:r>
      <w:proofErr w:type="spellEnd"/>
      <w:r w:rsidRPr="00454F9A">
        <w:rPr>
          <w:rFonts w:ascii="Arial" w:hAnsi="Arial" w:cs="Arial"/>
          <w:b/>
        </w:rPr>
        <w:t>) tartalom (MOC vagy LOC)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Az MOC (Maximum </w:t>
      </w:r>
      <w:proofErr w:type="spellStart"/>
      <w:r w:rsidRPr="00454F9A">
        <w:rPr>
          <w:rFonts w:ascii="Arial" w:hAnsi="Arial" w:cs="Arial"/>
        </w:rPr>
        <w:t>Oxygen</w:t>
      </w:r>
      <w:proofErr w:type="spellEnd"/>
      <w:r w:rsidRPr="00454F9A">
        <w:rPr>
          <w:rFonts w:ascii="Arial" w:hAnsi="Arial" w:cs="Arial"/>
        </w:rPr>
        <w:t xml:space="preserve"> Concentration) vagy a szintén elterjedten használt LOC (Limiting </w:t>
      </w:r>
      <w:proofErr w:type="spellStart"/>
      <w:r w:rsidRPr="00454F9A">
        <w:rPr>
          <w:rFonts w:ascii="Arial" w:hAnsi="Arial" w:cs="Arial"/>
        </w:rPr>
        <w:t>Oxygen</w:t>
      </w:r>
      <w:proofErr w:type="spellEnd"/>
      <w:r w:rsidRPr="00454F9A">
        <w:rPr>
          <w:rFonts w:ascii="Arial" w:hAnsi="Arial" w:cs="Arial"/>
        </w:rPr>
        <w:t xml:space="preserve"> Concentration) elnevezés a háromkomponensű rendszer azon maximális oxigén (</w:t>
      </w:r>
      <w:proofErr w:type="spellStart"/>
      <w:r w:rsidRPr="00454F9A">
        <w:rPr>
          <w:rFonts w:ascii="Arial" w:hAnsi="Arial" w:cs="Arial"/>
        </w:rPr>
        <w:t>oxidátor</w:t>
      </w:r>
      <w:proofErr w:type="spellEnd"/>
      <w:r w:rsidRPr="00454F9A">
        <w:rPr>
          <w:rFonts w:ascii="Arial" w:hAnsi="Arial" w:cs="Arial"/>
        </w:rPr>
        <w:t xml:space="preserve">) </w:t>
      </w:r>
      <w:proofErr w:type="gramStart"/>
      <w:r w:rsidRPr="00454F9A">
        <w:rPr>
          <w:rFonts w:ascii="Arial" w:hAnsi="Arial" w:cs="Arial"/>
        </w:rPr>
        <w:t>koncentrációját</w:t>
      </w:r>
      <w:proofErr w:type="gramEnd"/>
      <w:r w:rsidRPr="00454F9A">
        <w:rPr>
          <w:rFonts w:ascii="Arial" w:hAnsi="Arial" w:cs="Arial"/>
        </w:rPr>
        <w:t xml:space="preserve"> jelöli, amelyhez további éghetőgáz hozzáadása már nem </w:t>
      </w:r>
      <w:r w:rsidRPr="00454F9A">
        <w:rPr>
          <w:rFonts w:ascii="Arial" w:hAnsi="Arial" w:cs="Arial"/>
        </w:rPr>
        <w:lastRenderedPageBreak/>
        <w:t xml:space="preserve">okozhat robbanást. Meghatározásakor a robbanáshatár-görbéhez a háromszög éghetőgáz-inertgáz </w:t>
      </w:r>
      <w:proofErr w:type="spellStart"/>
      <w:r w:rsidRPr="00454F9A">
        <w:rPr>
          <w:rFonts w:ascii="Arial" w:hAnsi="Arial" w:cs="Arial"/>
        </w:rPr>
        <w:t>biner</w:t>
      </w:r>
      <w:proofErr w:type="spellEnd"/>
      <w:r w:rsidRPr="00454F9A">
        <w:rPr>
          <w:rFonts w:ascii="Arial" w:hAnsi="Arial" w:cs="Arial"/>
        </w:rPr>
        <w:t xml:space="preserve"> oldalával párhuzamos érintőt rajzoljuk be.</w:t>
      </w:r>
    </w:p>
    <w:p w:rsidR="00302F35" w:rsidRPr="00454F9A" w:rsidRDefault="00302F35" w:rsidP="00454F9A">
      <w:pPr>
        <w:rPr>
          <w:rFonts w:ascii="Arial" w:hAnsi="Arial" w:cs="Arial"/>
          <w:caps/>
        </w:rPr>
      </w:pPr>
      <w:bookmarkStart w:id="12" w:name="_Toc308106905"/>
      <w:r w:rsidRPr="00454F9A">
        <w:rPr>
          <w:rFonts w:ascii="Arial" w:hAnsi="Arial" w:cs="Arial"/>
          <w:caps/>
        </w:rPr>
        <w:t>A robbanáshatár-görbe közelítése, spline-ok</w:t>
      </w:r>
      <w:bookmarkEnd w:id="12"/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Munkánkban az </w:t>
      </w:r>
      <w:proofErr w:type="spellStart"/>
      <w:r w:rsidRPr="00454F9A">
        <w:rPr>
          <w:rFonts w:ascii="Arial" w:hAnsi="Arial" w:cs="Arial"/>
        </w:rPr>
        <w:t>izoterm</w:t>
      </w:r>
      <w:proofErr w:type="spellEnd"/>
      <w:r w:rsidRPr="00454F9A">
        <w:rPr>
          <w:rFonts w:ascii="Arial" w:hAnsi="Arial" w:cs="Arial"/>
        </w:rPr>
        <w:t xml:space="preserve"> és izobár robbanáshatár-görbékhez egyparaméteres síkgörbék interpolációs közelítésére volt szükség. A síkbeli paraméteres görbék közelítéséhez általában nem csak a függvény egy pontsorozata áll rendelkezésre, hanem gyakran ismertek a differenciálhatóságra illetve közvetlenül a </w:t>
      </w:r>
      <w:proofErr w:type="gramStart"/>
      <w:r w:rsidRPr="00454F9A">
        <w:rPr>
          <w:rFonts w:ascii="Arial" w:hAnsi="Arial" w:cs="Arial"/>
        </w:rPr>
        <w:t>deriváltakra</w:t>
      </w:r>
      <w:proofErr w:type="gramEnd"/>
      <w:r w:rsidRPr="00454F9A">
        <w:rPr>
          <w:rFonts w:ascii="Arial" w:hAnsi="Arial" w:cs="Arial"/>
        </w:rPr>
        <w:t xml:space="preserve"> vonatkozó feltételek is. A robbanáshatár-görbék közelítésénél kiindulhattunk abból, hogy a közelítendő függvény sima, görbülete folytonos valamint a kezdő és végpontokban ismert vagy az érintő egyenes iránya, vagy az érintő kör görbülete. Az irodalom szerint a fenti szokásos feltételeket legjobban a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>-függvények elégítik ki [</w:t>
      </w:r>
      <w:r w:rsidRPr="00045864">
        <w:rPr>
          <w:rFonts w:ascii="Arial" w:hAnsi="Arial" w:cs="Arial"/>
        </w:rPr>
        <w:t>3, 4</w:t>
      </w:r>
      <w:r w:rsidRPr="00454F9A">
        <w:rPr>
          <w:rFonts w:ascii="Arial" w:hAnsi="Arial" w:cs="Arial"/>
        </w:rPr>
        <w:t xml:space="preserve">]. Az alábbiakban megadjuk a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 xml:space="preserve">-függvények általános, valamint a munkánk során alkalmazott </w:t>
      </w:r>
      <w:proofErr w:type="gramStart"/>
      <w:r w:rsidRPr="00454F9A">
        <w:rPr>
          <w:rFonts w:ascii="Arial" w:hAnsi="Arial" w:cs="Arial"/>
        </w:rPr>
        <w:t>speciális</w:t>
      </w:r>
      <w:proofErr w:type="gramEnd"/>
      <w:r w:rsidRPr="00454F9A">
        <w:rPr>
          <w:rFonts w:ascii="Arial" w:hAnsi="Arial" w:cs="Arial"/>
        </w:rPr>
        <w:t xml:space="preserve">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 xml:space="preserve">-ok definícióját. </w:t>
      </w:r>
    </w:p>
    <w:p w:rsidR="00302F35" w:rsidRPr="00454F9A" w:rsidRDefault="00302F35" w:rsidP="00454F9A">
      <w:pPr>
        <w:rPr>
          <w:rFonts w:ascii="Arial" w:hAnsi="Arial" w:cs="Arial"/>
          <w:caps/>
        </w:rPr>
      </w:pPr>
      <w:bookmarkStart w:id="13" w:name="_Toc308106906"/>
      <w:r w:rsidRPr="00454F9A">
        <w:rPr>
          <w:rFonts w:ascii="Arial" w:hAnsi="Arial" w:cs="Arial"/>
          <w:caps/>
        </w:rPr>
        <w:t>Harmadfokú egyváltozós spline-függvények</w:t>
      </w:r>
      <w:bookmarkEnd w:id="13"/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Adott az </w:t>
      </w:r>
      <w:r w:rsidRPr="00454F9A">
        <w:rPr>
          <w:rFonts w:ascii="Arial" w:hAnsi="Arial" w:cs="Arial"/>
          <w:noProof/>
          <w:position w:val="-40"/>
          <w:lang w:eastAsia="hu-HU"/>
        </w:rPr>
        <w:drawing>
          <wp:inline distT="0" distB="0" distL="0" distR="0">
            <wp:extent cx="1879600" cy="508000"/>
            <wp:effectExtent l="38100" t="38100" r="25400" b="25400"/>
            <wp:docPr id="4" name="Kép 4" descr="Splinepon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Splinepont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50800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54F9A">
        <w:rPr>
          <w:rFonts w:ascii="Arial" w:hAnsi="Arial" w:cs="Arial"/>
        </w:rPr>
        <w:t xml:space="preserve"> </w:t>
      </w:r>
      <m:oMath>
        <m:d>
          <m:dPr>
            <m:begChr m:val="{"/>
            <m:endChr m:val="}"/>
            <m:ctrlPr>
              <w:rPr>
                <w:rFonts w:ascii="Cambria Math" w:hAnsi="Cambria Math" w:cs="Arial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 w:cs="Arial"/>
                    <w:i/>
                  </w:rPr>
                </m:ctrlPr>
              </m:mPr>
              <m:mr>
                <m:e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Arial"/>
                    </w:rPr>
                    <m:t xml:space="preserve">&lt; </m:t>
                  </m:r>
                  <m:sSub>
                    <m:sSubPr>
                      <m:ctrlPr>
                        <w:rPr>
                          <w:rFonts w:ascii="Cambria Math" w:hAnsi="Cambria Math" w:cs="Arial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="Arial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 w:cs="Arial"/>
                        </w:rPr>
                        <m:t>2</m:t>
                      </m:r>
                    </m:sub>
                  </m:sSub>
                </m:e>
              </m:mr>
              <m:mr>
                <m:e/>
              </m:mr>
            </m:m>
          </m:e>
        </m:d>
      </m:oMath>
      <w:r w:rsidRPr="00454F9A">
        <w:rPr>
          <w:rFonts w:ascii="Arial" w:hAnsi="Arial" w:cs="Arial"/>
        </w:rPr>
        <w:t>pontsorozat, továbbá kezdő és végpontfeltételként a kezdő és a végpontokban az illeszkedő görbének a meredeksége: m</w:t>
      </w:r>
      <w:r w:rsidRPr="00454F9A">
        <w:rPr>
          <w:rFonts w:ascii="Arial" w:hAnsi="Arial" w:cs="Arial"/>
          <w:vertAlign w:val="subscript"/>
        </w:rPr>
        <w:t xml:space="preserve">1 </w:t>
      </w:r>
      <w:r w:rsidRPr="00454F9A">
        <w:rPr>
          <w:rFonts w:ascii="Arial" w:hAnsi="Arial" w:cs="Arial"/>
        </w:rPr>
        <w:t xml:space="preserve">és </w:t>
      </w:r>
      <w:proofErr w:type="spellStart"/>
      <w:r w:rsidRPr="00454F9A">
        <w:rPr>
          <w:rFonts w:ascii="Arial" w:hAnsi="Arial" w:cs="Arial"/>
        </w:rPr>
        <w:t>m</w:t>
      </w:r>
      <w:r w:rsidRPr="00454F9A">
        <w:rPr>
          <w:rFonts w:ascii="Arial" w:hAnsi="Arial" w:cs="Arial"/>
          <w:vertAlign w:val="subscript"/>
        </w:rPr>
        <w:t>n</w:t>
      </w:r>
      <w:proofErr w:type="spellEnd"/>
      <w:r w:rsidRPr="00454F9A">
        <w:rPr>
          <w:rFonts w:ascii="Arial" w:hAnsi="Arial" w:cs="Arial"/>
        </w:rPr>
        <w:t xml:space="preserve">. Harmadfokú egyváltozós interpoláló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>-függvénynek nevezzük azt a teljes [x</w:t>
      </w:r>
      <w:r w:rsidRPr="00454F9A">
        <w:rPr>
          <w:rFonts w:ascii="Arial" w:hAnsi="Arial" w:cs="Arial"/>
          <w:vertAlign w:val="subscript"/>
        </w:rPr>
        <w:t>1</w:t>
      </w:r>
      <w:r w:rsidRPr="00454F9A">
        <w:rPr>
          <w:rFonts w:ascii="Arial" w:hAnsi="Arial" w:cs="Arial"/>
        </w:rPr>
        <w:t xml:space="preserve">, </w:t>
      </w:r>
      <w:proofErr w:type="spellStart"/>
      <w:r w:rsidRPr="00454F9A">
        <w:rPr>
          <w:rFonts w:ascii="Arial" w:hAnsi="Arial" w:cs="Arial"/>
        </w:rPr>
        <w:t>x</w:t>
      </w:r>
      <w:r w:rsidRPr="00454F9A">
        <w:rPr>
          <w:rFonts w:ascii="Arial" w:hAnsi="Arial" w:cs="Arial"/>
          <w:vertAlign w:val="subscript"/>
        </w:rPr>
        <w:t>n</w:t>
      </w:r>
      <w:proofErr w:type="spellEnd"/>
      <w:r w:rsidRPr="00454F9A">
        <w:rPr>
          <w:rFonts w:ascii="Arial" w:hAnsi="Arial" w:cs="Arial"/>
        </w:rPr>
        <w:t xml:space="preserve">] </w:t>
      </w:r>
      <w:proofErr w:type="gramStart"/>
      <w:r w:rsidRPr="00454F9A">
        <w:rPr>
          <w:rFonts w:ascii="Arial" w:hAnsi="Arial" w:cs="Arial"/>
        </w:rPr>
        <w:t>intervallumon</w:t>
      </w:r>
      <w:proofErr w:type="gramEnd"/>
      <w:r w:rsidRPr="00454F9A">
        <w:rPr>
          <w:rFonts w:ascii="Arial" w:hAnsi="Arial" w:cs="Arial"/>
        </w:rPr>
        <w:t xml:space="preserve"> kétszer folytonosan differenciálható függvényt, melyre teljesülnek az alábbiak: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  <w:noProof/>
          <w:position w:val="-40"/>
          <w:lang w:eastAsia="hu-HU"/>
        </w:rPr>
        <w:drawing>
          <wp:inline distT="0" distB="0" distL="0" distR="0">
            <wp:extent cx="5257800" cy="546100"/>
            <wp:effectExtent l="38100" t="38100" r="19050" b="25400"/>
            <wp:docPr id="3" name="Kép 3" descr="Splin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Spline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46100"/>
                    </a:xfrm>
                    <a:prstGeom prst="rect">
                      <a:avLst/>
                    </a:prstGeom>
                    <a:solidFill>
                      <a:schemeClr val="accent2">
                        <a:lumMod val="100000"/>
                        <a:lumOff val="0"/>
                      </a:schemeClr>
                    </a:solidFill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54F9A">
        <w:rPr>
          <w:rFonts w:ascii="Arial" w:hAnsi="Arial" w:cs="Arial"/>
        </w:rPr>
        <w:tab/>
        <w:t>(1)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Az (1) összefüggéshez hasonlóan megadható a harmadfokú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 xml:space="preserve"> a második </w:t>
      </w:r>
      <w:proofErr w:type="gramStart"/>
      <w:r w:rsidRPr="00454F9A">
        <w:rPr>
          <w:rFonts w:ascii="Arial" w:hAnsi="Arial" w:cs="Arial"/>
        </w:rPr>
        <w:t>deriváltakra</w:t>
      </w:r>
      <w:proofErr w:type="gramEnd"/>
      <w:r w:rsidRPr="00454F9A">
        <w:rPr>
          <w:rFonts w:ascii="Arial" w:hAnsi="Arial" w:cs="Arial"/>
        </w:rPr>
        <w:t xml:space="preserve"> (görbületre) vonatkozó kezdő és végpont-feltételekkel is.</w:t>
      </w:r>
    </w:p>
    <w:p w:rsidR="00302F35" w:rsidRPr="00454F9A" w:rsidRDefault="00302F35" w:rsidP="00454F9A">
      <w:pPr>
        <w:rPr>
          <w:rFonts w:ascii="Arial" w:hAnsi="Arial" w:cs="Arial"/>
          <w:caps/>
        </w:rPr>
      </w:pPr>
      <w:bookmarkStart w:id="14" w:name="_Toc308106907"/>
      <w:r w:rsidRPr="00454F9A">
        <w:rPr>
          <w:rFonts w:ascii="Arial" w:hAnsi="Arial" w:cs="Arial"/>
          <w:caps/>
        </w:rPr>
        <w:t>Harmadfokú, paraméteres spline görbék</w:t>
      </w:r>
      <w:bookmarkEnd w:id="14"/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Az </w:t>
      </w:r>
      <w:r w:rsidRPr="00454F9A">
        <w:rPr>
          <w:rFonts w:ascii="Arial" w:hAnsi="Arial" w:cs="Arial"/>
          <w:noProof/>
          <w:position w:val="-40"/>
          <w:lang w:eastAsia="hu-HU"/>
        </w:rPr>
        <w:drawing>
          <wp:inline distT="0" distB="0" distL="0" distR="0">
            <wp:extent cx="1460500" cy="488950"/>
            <wp:effectExtent l="38100" t="38100" r="25400" b="25400"/>
            <wp:docPr id="2" name="Kép 2" descr="Splinepon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Splinepont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500" cy="48895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54F9A">
        <w:rPr>
          <w:rFonts w:ascii="Arial" w:hAnsi="Arial" w:cs="Arial"/>
        </w:rPr>
        <w:t xml:space="preserve"> pontsorozatot, ahol az </w:t>
      </w:r>
      <w:r w:rsidRPr="00454F9A">
        <w:rPr>
          <w:rFonts w:ascii="Arial" w:hAnsi="Arial" w:cs="Arial"/>
          <w:i/>
        </w:rPr>
        <w:t>x</w:t>
      </w:r>
      <w:r w:rsidRPr="00454F9A">
        <w:rPr>
          <w:rFonts w:ascii="Arial" w:hAnsi="Arial" w:cs="Arial"/>
          <w:vertAlign w:val="subscript"/>
        </w:rPr>
        <w:t>1</w:t>
      </w:r>
      <w:r w:rsidRPr="00454F9A">
        <w:rPr>
          <w:rFonts w:ascii="Arial" w:hAnsi="Arial" w:cs="Arial"/>
        </w:rPr>
        <w:t xml:space="preserve">, </w:t>
      </w:r>
      <w:r w:rsidRPr="00454F9A">
        <w:rPr>
          <w:rFonts w:ascii="Arial" w:hAnsi="Arial" w:cs="Arial"/>
          <w:i/>
        </w:rPr>
        <w:t>x</w:t>
      </w:r>
      <w:r w:rsidRPr="00454F9A">
        <w:rPr>
          <w:rFonts w:ascii="Arial" w:hAnsi="Arial" w:cs="Arial"/>
          <w:vertAlign w:val="subscript"/>
        </w:rPr>
        <w:t>2</w:t>
      </w:r>
      <w:proofErr w:type="gramStart"/>
      <w:r w:rsidRPr="00454F9A">
        <w:rPr>
          <w:rFonts w:ascii="Arial" w:hAnsi="Arial" w:cs="Arial"/>
        </w:rPr>
        <w:t>, …</w:t>
      </w:r>
      <w:proofErr w:type="gramEnd"/>
      <w:r w:rsidRPr="00454F9A">
        <w:rPr>
          <w:rFonts w:ascii="Arial" w:hAnsi="Arial" w:cs="Arial"/>
        </w:rPr>
        <w:t xml:space="preserve">, </w:t>
      </w:r>
      <w:proofErr w:type="spellStart"/>
      <w:r w:rsidRPr="00454F9A">
        <w:rPr>
          <w:rFonts w:ascii="Arial" w:hAnsi="Arial" w:cs="Arial"/>
          <w:i/>
        </w:rPr>
        <w:t>x</w:t>
      </w:r>
      <w:r w:rsidRPr="00454F9A">
        <w:rPr>
          <w:rFonts w:ascii="Arial" w:hAnsi="Arial" w:cs="Arial"/>
          <w:vertAlign w:val="subscript"/>
        </w:rPr>
        <w:t>n</w:t>
      </w:r>
      <w:proofErr w:type="spellEnd"/>
      <w:r w:rsidRPr="00454F9A">
        <w:rPr>
          <w:rFonts w:ascii="Arial" w:hAnsi="Arial" w:cs="Arial"/>
        </w:rPr>
        <w:t xml:space="preserve"> sorozatra nem szükséges, hogy a szigorú monotonitás teljesüljön, leggyakrabban az </w:t>
      </w:r>
      <w:r w:rsidRPr="00454F9A">
        <w:rPr>
          <w:rFonts w:ascii="Arial" w:hAnsi="Arial" w:cs="Arial"/>
          <w:i/>
        </w:rPr>
        <w:t>s</w:t>
      </w:r>
      <w:r w:rsidRPr="00454F9A">
        <w:rPr>
          <w:rFonts w:ascii="Arial" w:hAnsi="Arial" w:cs="Arial"/>
        </w:rPr>
        <w:t xml:space="preserve"> ívhossz szerint paraméterezik, ahol 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  <w:noProof/>
          <w:position w:val="-24"/>
          <w:lang w:eastAsia="hu-HU"/>
        </w:rPr>
        <w:drawing>
          <wp:inline distT="0" distB="0" distL="0" distR="0">
            <wp:extent cx="4146550" cy="361950"/>
            <wp:effectExtent l="38100" t="38100" r="25400" b="19050"/>
            <wp:docPr id="1" name="Kép 1" descr="Splin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Spline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6550" cy="361950"/>
                    </a:xfrm>
                    <a:prstGeom prst="rect">
                      <a:avLst/>
                    </a:prstGeom>
                    <a:noFill/>
                    <a:ln w="28575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454F9A">
        <w:rPr>
          <w:rFonts w:ascii="Arial" w:hAnsi="Arial" w:cs="Arial"/>
        </w:rPr>
        <w:tab/>
      </w:r>
      <w:r w:rsidRPr="00454F9A">
        <w:rPr>
          <w:rFonts w:ascii="Arial" w:hAnsi="Arial" w:cs="Arial"/>
        </w:rPr>
        <w:tab/>
        <w:t>(2)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(2) összefüggésből látható, hogy az </w:t>
      </w:r>
      <w:proofErr w:type="spellStart"/>
      <w:r w:rsidRPr="00454F9A">
        <w:rPr>
          <w:rFonts w:ascii="Arial" w:hAnsi="Arial" w:cs="Arial"/>
          <w:i/>
        </w:rPr>
        <w:t>s</w:t>
      </w:r>
      <w:r w:rsidRPr="00454F9A">
        <w:rPr>
          <w:rFonts w:ascii="Arial" w:hAnsi="Arial" w:cs="Arial"/>
          <w:i/>
          <w:vertAlign w:val="subscript"/>
        </w:rPr>
        <w:t>i</w:t>
      </w:r>
      <w:proofErr w:type="spellEnd"/>
      <w:r w:rsidRPr="00454F9A">
        <w:rPr>
          <w:rFonts w:ascii="Arial" w:hAnsi="Arial" w:cs="Arial"/>
        </w:rPr>
        <w:t xml:space="preserve"> sorozat szigorúan </w:t>
      </w:r>
      <w:proofErr w:type="gramStart"/>
      <w:r w:rsidRPr="00454F9A">
        <w:rPr>
          <w:rFonts w:ascii="Arial" w:hAnsi="Arial" w:cs="Arial"/>
        </w:rPr>
        <w:t>monoton</w:t>
      </w:r>
      <w:proofErr w:type="gramEnd"/>
      <w:r w:rsidRPr="00454F9A">
        <w:rPr>
          <w:rFonts w:ascii="Arial" w:hAnsi="Arial" w:cs="Arial"/>
        </w:rPr>
        <w:t xml:space="preserve"> növekvő. A paraméteres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 xml:space="preserve">-t vektorként adják meg, úgy, hogy a megfelelő – érintőre vagy görbületre vonatkozó – kezdő és végpont-feltételekkel mind az </w:t>
      </w:r>
      <w:r w:rsidRPr="00454F9A">
        <w:rPr>
          <w:rFonts w:ascii="Arial" w:hAnsi="Arial" w:cs="Arial"/>
          <w:i/>
        </w:rPr>
        <w:t>(</w:t>
      </w:r>
      <w:proofErr w:type="spellStart"/>
      <w:r w:rsidRPr="00454F9A">
        <w:rPr>
          <w:rFonts w:ascii="Arial" w:hAnsi="Arial" w:cs="Arial"/>
          <w:i/>
        </w:rPr>
        <w:t>s</w:t>
      </w:r>
      <w:r w:rsidRPr="00454F9A">
        <w:rPr>
          <w:rFonts w:ascii="Arial" w:hAnsi="Arial" w:cs="Arial"/>
          <w:i/>
          <w:vertAlign w:val="subscript"/>
        </w:rPr>
        <w:t>i</w:t>
      </w:r>
      <w:r w:rsidRPr="00454F9A">
        <w:rPr>
          <w:rFonts w:ascii="Arial" w:hAnsi="Arial" w:cs="Arial"/>
        </w:rPr>
        <w:t>,</w:t>
      </w:r>
      <w:r w:rsidRPr="00454F9A">
        <w:rPr>
          <w:rFonts w:ascii="Arial" w:hAnsi="Arial" w:cs="Arial"/>
          <w:i/>
        </w:rPr>
        <w:t>x</w:t>
      </w:r>
      <w:r w:rsidRPr="00454F9A">
        <w:rPr>
          <w:rFonts w:ascii="Arial" w:hAnsi="Arial" w:cs="Arial"/>
          <w:i/>
          <w:vertAlign w:val="subscript"/>
        </w:rPr>
        <w:t>i</w:t>
      </w:r>
      <w:proofErr w:type="spellEnd"/>
      <w:r w:rsidRPr="00454F9A">
        <w:rPr>
          <w:rFonts w:ascii="Arial" w:hAnsi="Arial" w:cs="Arial"/>
          <w:i/>
        </w:rPr>
        <w:t>)</w:t>
      </w:r>
      <w:r w:rsidRPr="00454F9A">
        <w:rPr>
          <w:rFonts w:ascii="Arial" w:hAnsi="Arial" w:cs="Arial"/>
        </w:rPr>
        <w:t xml:space="preserve"> abszcissza sorozatra, mind az </w:t>
      </w:r>
      <w:r w:rsidRPr="00454F9A">
        <w:rPr>
          <w:rFonts w:ascii="Arial" w:hAnsi="Arial" w:cs="Arial"/>
          <w:i/>
        </w:rPr>
        <w:t>(</w:t>
      </w:r>
      <w:proofErr w:type="spellStart"/>
      <w:r w:rsidRPr="00454F9A">
        <w:rPr>
          <w:rFonts w:ascii="Arial" w:hAnsi="Arial" w:cs="Arial"/>
          <w:i/>
        </w:rPr>
        <w:t>s</w:t>
      </w:r>
      <w:r w:rsidRPr="00454F9A">
        <w:rPr>
          <w:rFonts w:ascii="Arial" w:hAnsi="Arial" w:cs="Arial"/>
          <w:i/>
          <w:vertAlign w:val="subscript"/>
        </w:rPr>
        <w:t>i</w:t>
      </w:r>
      <w:r w:rsidRPr="00454F9A">
        <w:rPr>
          <w:rFonts w:ascii="Arial" w:hAnsi="Arial" w:cs="Arial"/>
        </w:rPr>
        <w:t>,</w:t>
      </w:r>
      <w:r w:rsidRPr="00454F9A">
        <w:rPr>
          <w:rFonts w:ascii="Arial" w:hAnsi="Arial" w:cs="Arial"/>
          <w:i/>
        </w:rPr>
        <w:t>y</w:t>
      </w:r>
      <w:r w:rsidRPr="00454F9A">
        <w:rPr>
          <w:rFonts w:ascii="Arial" w:hAnsi="Arial" w:cs="Arial"/>
          <w:i/>
          <w:vertAlign w:val="subscript"/>
        </w:rPr>
        <w:t>i</w:t>
      </w:r>
      <w:proofErr w:type="spellEnd"/>
      <w:r w:rsidRPr="00454F9A">
        <w:rPr>
          <w:rFonts w:ascii="Arial" w:hAnsi="Arial" w:cs="Arial"/>
          <w:i/>
        </w:rPr>
        <w:t>)</w:t>
      </w:r>
      <w:r w:rsidRPr="00454F9A">
        <w:rPr>
          <w:rFonts w:ascii="Arial" w:hAnsi="Arial" w:cs="Arial"/>
        </w:rPr>
        <w:t xml:space="preserve"> ordináta sorozatra az előzőek szerinti kétszer folytonosan </w:t>
      </w:r>
      <w:proofErr w:type="gramStart"/>
      <w:r w:rsidRPr="00454F9A">
        <w:rPr>
          <w:rFonts w:ascii="Arial" w:hAnsi="Arial" w:cs="Arial"/>
        </w:rPr>
        <w:t>deriválható</w:t>
      </w:r>
      <w:proofErr w:type="gramEnd"/>
      <w:r w:rsidRPr="00454F9A">
        <w:rPr>
          <w:rFonts w:ascii="Arial" w:hAnsi="Arial" w:cs="Arial"/>
        </w:rPr>
        <w:t>, szakaszonként harmadfokú függvényt illesztenek.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lastRenderedPageBreak/>
        <w:t xml:space="preserve">Előnye a paraméteres görbéknek az </w:t>
      </w:r>
      <w:r w:rsidRPr="00454F9A">
        <w:rPr>
          <w:rFonts w:ascii="Arial" w:hAnsi="Arial" w:cs="Arial"/>
          <w:i/>
        </w:rPr>
        <w:t>f(x)</w:t>
      </w:r>
      <w:r w:rsidRPr="00454F9A">
        <w:rPr>
          <w:rFonts w:ascii="Arial" w:hAnsi="Arial" w:cs="Arial"/>
        </w:rPr>
        <w:t xml:space="preserve"> alakú </w:t>
      </w:r>
      <w:proofErr w:type="gramStart"/>
      <w:r w:rsidRPr="00454F9A">
        <w:rPr>
          <w:rFonts w:ascii="Arial" w:hAnsi="Arial" w:cs="Arial"/>
        </w:rPr>
        <w:t>függvény görbékkel</w:t>
      </w:r>
      <w:proofErr w:type="gramEnd"/>
      <w:r w:rsidRPr="00454F9A">
        <w:rPr>
          <w:rFonts w:ascii="Arial" w:hAnsi="Arial" w:cs="Arial"/>
        </w:rPr>
        <w:t xml:space="preserve"> szemben, hogy az </w:t>
      </w:r>
      <w:r w:rsidRPr="00454F9A">
        <w:rPr>
          <w:rFonts w:ascii="Arial" w:hAnsi="Arial" w:cs="Arial"/>
          <w:i/>
        </w:rPr>
        <w:t>x</w:t>
      </w:r>
      <w:r w:rsidRPr="00454F9A">
        <w:rPr>
          <w:rFonts w:ascii="Arial" w:hAnsi="Arial" w:cs="Arial"/>
          <w:i/>
          <w:vertAlign w:val="subscript"/>
        </w:rPr>
        <w:t>i</w:t>
      </w:r>
      <w:r w:rsidRPr="00454F9A">
        <w:rPr>
          <w:rFonts w:ascii="Arial" w:hAnsi="Arial" w:cs="Arial"/>
        </w:rPr>
        <w:t xml:space="preserve"> abszcissza értékeknek nem kell szigorúan monoton sorozatot alkotniuk. Így a paraméteres görbékkel akár hurkok, </w:t>
      </w:r>
      <w:proofErr w:type="gramStart"/>
      <w:r w:rsidRPr="00454F9A">
        <w:rPr>
          <w:rFonts w:ascii="Arial" w:hAnsi="Arial" w:cs="Arial"/>
        </w:rPr>
        <w:t>spirálok</w:t>
      </w:r>
      <w:proofErr w:type="gramEnd"/>
      <w:r w:rsidRPr="00454F9A">
        <w:rPr>
          <w:rFonts w:ascii="Arial" w:hAnsi="Arial" w:cs="Arial"/>
        </w:rPr>
        <w:t>, vagy tetszőleges C'' síkgörbék is leírhatók.</w:t>
      </w:r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harmadfokú, paraméteres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 xml:space="preserve"> síkgörbe pontjainak számításához gyakran használják az úgynevezett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 xml:space="preserve">-tartópontokon alapuló </w:t>
      </w:r>
      <w:proofErr w:type="spellStart"/>
      <w:r w:rsidRPr="00454F9A">
        <w:rPr>
          <w:rFonts w:ascii="Arial" w:hAnsi="Arial" w:cs="Arial"/>
        </w:rPr>
        <w:t>DeCasteljau</w:t>
      </w:r>
      <w:proofErr w:type="spellEnd"/>
      <w:r w:rsidRPr="00454F9A">
        <w:rPr>
          <w:rFonts w:ascii="Arial" w:hAnsi="Arial" w:cs="Arial"/>
        </w:rPr>
        <w:t xml:space="preserve"> algoritmust, melyet a </w:t>
      </w:r>
      <w:r w:rsidRPr="00454F9A">
        <w:rPr>
          <w:rFonts w:ascii="Arial" w:hAnsi="Arial" w:cs="Arial"/>
          <w:highlight w:val="yellow"/>
        </w:rPr>
        <w:t>3. ábra</w:t>
      </w:r>
      <w:r w:rsidRPr="00454F9A">
        <w:rPr>
          <w:rFonts w:ascii="Arial" w:hAnsi="Arial" w:cs="Arial"/>
        </w:rPr>
        <w:t xml:space="preserve"> szemléltet. </w:t>
      </w:r>
    </w:p>
    <w:p w:rsidR="00302F35" w:rsidRPr="00454F9A" w:rsidRDefault="00302F35" w:rsidP="00454F9A">
      <w:pPr>
        <w:rPr>
          <w:rFonts w:ascii="Arial" w:hAnsi="Arial" w:cs="Arial"/>
        </w:rPr>
      </w:pPr>
    </w:p>
    <w:p w:rsidR="00302F35" w:rsidRPr="00454F9A" w:rsidRDefault="00302F35" w:rsidP="00454F9A">
      <w:pPr>
        <w:rPr>
          <w:rFonts w:ascii="Arial" w:hAnsi="Arial" w:cs="Arial"/>
        </w:rPr>
      </w:pPr>
      <w:bookmarkStart w:id="15" w:name="_Toc308106912"/>
      <w:r w:rsidRPr="00454F9A">
        <w:rPr>
          <w:rFonts w:ascii="Arial" w:hAnsi="Arial" w:cs="Arial"/>
          <w:highlight w:val="magenta"/>
        </w:rPr>
        <w:t>3. ábra</w:t>
      </w:r>
      <w:r w:rsidRPr="00454F9A">
        <w:rPr>
          <w:rFonts w:ascii="Arial" w:hAnsi="Arial" w:cs="Arial"/>
        </w:rPr>
        <w:t xml:space="preserve">: </w:t>
      </w:r>
      <w:proofErr w:type="gramStart"/>
      <w:r w:rsidRPr="00454F9A">
        <w:rPr>
          <w:rFonts w:ascii="Arial" w:hAnsi="Arial" w:cs="Arial"/>
        </w:rPr>
        <w:t>Az  s</w:t>
      </w:r>
      <w:proofErr w:type="gramEnd"/>
      <w:r w:rsidRPr="00454F9A">
        <w:rPr>
          <w:rFonts w:ascii="Arial" w:hAnsi="Arial" w:cs="Arial"/>
        </w:rPr>
        <w:t xml:space="preserve">=1/3  paraméter-értékhez tartozó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>-pont szerkesztése</w:t>
      </w:r>
      <w:bookmarkEnd w:id="15"/>
    </w:p>
    <w:p w:rsidR="00302F35" w:rsidRPr="00454F9A" w:rsidRDefault="00302F35" w:rsidP="00454F9A">
      <w:pPr>
        <w:rPr>
          <w:rFonts w:ascii="Arial" w:hAnsi="Arial" w:cs="Arial"/>
        </w:rPr>
      </w:pPr>
      <w:r w:rsidRPr="00454F9A">
        <w:rPr>
          <w:rFonts w:ascii="Arial" w:hAnsi="Arial" w:cs="Arial"/>
        </w:rPr>
        <w:t xml:space="preserve">A </w:t>
      </w:r>
      <w:r w:rsidRPr="00454F9A">
        <w:rPr>
          <w:rFonts w:ascii="Arial" w:hAnsi="Arial" w:cs="Arial"/>
          <w:highlight w:val="yellow"/>
        </w:rPr>
        <w:t>3. ábra</w:t>
      </w:r>
      <w:r w:rsidRPr="00454F9A">
        <w:rPr>
          <w:rFonts w:ascii="Arial" w:hAnsi="Arial" w:cs="Arial"/>
        </w:rPr>
        <w:t xml:space="preserve"> </w:t>
      </w:r>
      <w:r w:rsidRPr="00454F9A">
        <w:rPr>
          <w:rFonts w:ascii="Arial" w:hAnsi="Arial" w:cs="Arial"/>
          <w:i/>
        </w:rPr>
        <w:t>P</w:t>
      </w:r>
      <w:r w:rsidRPr="00454F9A">
        <w:rPr>
          <w:rFonts w:ascii="Arial" w:hAnsi="Arial" w:cs="Arial"/>
          <w:i/>
          <w:vertAlign w:val="subscript"/>
        </w:rPr>
        <w:t>0</w:t>
      </w:r>
      <w:r w:rsidRPr="00454F9A">
        <w:rPr>
          <w:rFonts w:ascii="Arial" w:hAnsi="Arial" w:cs="Arial"/>
          <w:i/>
        </w:rPr>
        <w:t>, P</w:t>
      </w:r>
      <w:r w:rsidRPr="00454F9A">
        <w:rPr>
          <w:rFonts w:ascii="Arial" w:hAnsi="Arial" w:cs="Arial"/>
          <w:i/>
          <w:vertAlign w:val="subscript"/>
        </w:rPr>
        <w:t>1</w:t>
      </w:r>
      <w:r w:rsidRPr="00454F9A">
        <w:rPr>
          <w:rFonts w:ascii="Arial" w:hAnsi="Arial" w:cs="Arial"/>
          <w:i/>
        </w:rPr>
        <w:t>, P</w:t>
      </w:r>
      <w:r w:rsidRPr="00454F9A">
        <w:rPr>
          <w:rFonts w:ascii="Arial" w:hAnsi="Arial" w:cs="Arial"/>
          <w:i/>
          <w:vertAlign w:val="subscript"/>
        </w:rPr>
        <w:t>2</w:t>
      </w:r>
      <w:r w:rsidRPr="00454F9A">
        <w:rPr>
          <w:rFonts w:ascii="Arial" w:hAnsi="Arial" w:cs="Arial"/>
          <w:i/>
        </w:rPr>
        <w:t>, P</w:t>
      </w:r>
      <w:r w:rsidRPr="00454F9A">
        <w:rPr>
          <w:rFonts w:ascii="Arial" w:hAnsi="Arial" w:cs="Arial"/>
          <w:i/>
          <w:vertAlign w:val="subscript"/>
        </w:rPr>
        <w:t>3</w:t>
      </w:r>
      <w:r w:rsidRPr="00454F9A">
        <w:rPr>
          <w:rFonts w:ascii="Arial" w:hAnsi="Arial" w:cs="Arial"/>
        </w:rPr>
        <w:t xml:space="preserve"> pontjai a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 xml:space="preserve">-tartópontok, melyek közül az első és az utolsó a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 xml:space="preserve">-görbére illeszkedik. A két középső pont csupán azokhoz a segéd-szakaszokhoz szükséges, amelyek megfelelő (s) arányú osztópontjai 3 lépésben meghatározzák a </w:t>
      </w:r>
      <w:proofErr w:type="spellStart"/>
      <w:r w:rsidRPr="00454F9A">
        <w:rPr>
          <w:rFonts w:ascii="Arial" w:hAnsi="Arial" w:cs="Arial"/>
        </w:rPr>
        <w:t>spline</w:t>
      </w:r>
      <w:proofErr w:type="spellEnd"/>
      <w:r w:rsidRPr="00454F9A">
        <w:rPr>
          <w:rFonts w:ascii="Arial" w:hAnsi="Arial" w:cs="Arial"/>
        </w:rPr>
        <w:t xml:space="preserve"> görbe azon pontját, amely az adott s paraméter értékhez tartozik.</w:t>
      </w:r>
    </w:p>
    <w:p w:rsidR="00302F35" w:rsidRPr="00454F9A" w:rsidRDefault="00302F35" w:rsidP="00454F9A">
      <w:pPr>
        <w:rPr>
          <w:rFonts w:ascii="Arial" w:hAnsi="Arial" w:cs="Arial"/>
          <w:caps/>
        </w:rPr>
      </w:pPr>
      <w:bookmarkStart w:id="16" w:name="_Toc308106908"/>
      <w:r w:rsidRPr="00454F9A">
        <w:rPr>
          <w:rFonts w:ascii="Arial" w:hAnsi="Arial" w:cs="Arial"/>
          <w:caps/>
        </w:rPr>
        <w:t>Irodalomjegyzék</w:t>
      </w:r>
      <w:bookmarkEnd w:id="16"/>
    </w:p>
    <w:p w:rsidR="00302F35" w:rsidRPr="00454F9A" w:rsidRDefault="00302F35" w:rsidP="00454F9A">
      <w:pPr>
        <w:rPr>
          <w:rFonts w:ascii="Arial" w:hAnsi="Arial" w:cs="Arial"/>
        </w:rPr>
      </w:pPr>
      <w:bookmarkStart w:id="17" w:name="CHEMSAFE"/>
      <w:bookmarkStart w:id="18" w:name="_Ref33066659"/>
      <w:r w:rsidRPr="00454F9A">
        <w:rPr>
          <w:rFonts w:ascii="Arial" w:hAnsi="Arial" w:cs="Arial"/>
        </w:rPr>
        <w:t>1. CHEMSAFE</w:t>
      </w:r>
      <w:r w:rsidRPr="00454F9A">
        <w:rPr>
          <w:rFonts w:ascii="Arial" w:hAnsi="Arial" w:cs="Arial"/>
          <w:vertAlign w:val="superscript"/>
        </w:rPr>
        <w:t>®</w:t>
      </w:r>
      <w:bookmarkEnd w:id="17"/>
      <w:r w:rsidRPr="00454F9A">
        <w:rPr>
          <w:rFonts w:ascii="Arial" w:hAnsi="Arial" w:cs="Arial"/>
        </w:rPr>
        <w:t xml:space="preserve">- </w:t>
      </w:r>
      <w:r w:rsidRPr="00454F9A">
        <w:rPr>
          <w:rFonts w:ascii="Arial" w:hAnsi="Arial" w:cs="Arial"/>
          <w:lang w:val="de-DE"/>
        </w:rPr>
        <w:t>Datenbank für bewertete sicherheitstechnische Kenngrößen, erstellt von der BAM, Berlin, PTB, Braunschweig und DECHEMA, Frankfurt am Main</w:t>
      </w:r>
      <w:r w:rsidRPr="00454F9A">
        <w:rPr>
          <w:rFonts w:ascii="Arial" w:hAnsi="Arial" w:cs="Arial"/>
        </w:rPr>
        <w:t xml:space="preserve"> (ajánlott mérési adatok éghetőgázok, folyadékok, porok és elegyeik biztonságtechnikai jellemzői számára) Internet: www.dechema.de,</w:t>
      </w:r>
      <w:r w:rsidRPr="00454F9A">
        <w:rPr>
          <w:rFonts w:ascii="Arial" w:hAnsi="Arial" w:cs="Arial"/>
        </w:rPr>
        <w:br/>
        <w:t>Online</w:t>
      </w:r>
      <w:proofErr w:type="gramStart"/>
      <w:r w:rsidRPr="00454F9A">
        <w:rPr>
          <w:rFonts w:ascii="Arial" w:hAnsi="Arial" w:cs="Arial"/>
        </w:rPr>
        <w:t>:  STN</w:t>
      </w:r>
      <w:proofErr w:type="gramEnd"/>
      <w:r w:rsidRPr="00454F9A">
        <w:rPr>
          <w:rFonts w:ascii="Arial" w:hAnsi="Arial" w:cs="Arial"/>
        </w:rPr>
        <w:t xml:space="preserve"> International, FIZ-Karlsruhe, </w:t>
      </w:r>
      <w:proofErr w:type="spellStart"/>
      <w:r w:rsidRPr="00454F9A">
        <w:rPr>
          <w:rFonts w:ascii="Arial" w:hAnsi="Arial" w:cs="Arial"/>
        </w:rPr>
        <w:t>Tokyo</w:t>
      </w:r>
      <w:proofErr w:type="spellEnd"/>
      <w:r w:rsidRPr="00454F9A">
        <w:rPr>
          <w:rFonts w:ascii="Arial" w:hAnsi="Arial" w:cs="Arial"/>
        </w:rPr>
        <w:t xml:space="preserve">, </w:t>
      </w:r>
      <w:proofErr w:type="spellStart"/>
      <w:r w:rsidRPr="00454F9A">
        <w:rPr>
          <w:rFonts w:ascii="Arial" w:hAnsi="Arial" w:cs="Arial"/>
        </w:rPr>
        <w:t>Colombus</w:t>
      </w:r>
      <w:proofErr w:type="spellEnd"/>
      <w:r w:rsidRPr="00454F9A">
        <w:rPr>
          <w:rFonts w:ascii="Arial" w:hAnsi="Arial" w:cs="Arial"/>
        </w:rPr>
        <w:t xml:space="preserve"> Ohio</w:t>
      </w:r>
      <w:bookmarkEnd w:id="18"/>
    </w:p>
    <w:p w:rsidR="00302F35" w:rsidRPr="00454F9A" w:rsidRDefault="00302F35" w:rsidP="00454F9A">
      <w:pPr>
        <w:rPr>
          <w:rFonts w:ascii="Arial" w:hAnsi="Arial" w:cs="Arial"/>
          <w:lang w:val="en-US"/>
        </w:rPr>
      </w:pPr>
      <w:bookmarkStart w:id="19" w:name="Triangle"/>
      <w:r w:rsidRPr="00454F9A">
        <w:rPr>
          <w:rFonts w:ascii="Arial" w:hAnsi="Arial" w:cs="Arial"/>
          <w:lang w:val="en-US"/>
        </w:rPr>
        <w:t xml:space="preserve">2. </w:t>
      </w:r>
      <w:proofErr w:type="spellStart"/>
      <w:r w:rsidRPr="00454F9A">
        <w:rPr>
          <w:rFonts w:ascii="Arial" w:hAnsi="Arial" w:cs="Arial"/>
          <w:lang w:val="en-US"/>
        </w:rPr>
        <w:t>Molnárné-Jobbágy</w:t>
      </w:r>
      <w:proofErr w:type="spellEnd"/>
      <w:r w:rsidRPr="00454F9A">
        <w:rPr>
          <w:rFonts w:ascii="Arial" w:hAnsi="Arial" w:cs="Arial"/>
          <w:lang w:val="en-US"/>
        </w:rPr>
        <w:t xml:space="preserve"> M</w:t>
      </w:r>
      <w:bookmarkEnd w:id="19"/>
      <w:r w:rsidRPr="00454F9A">
        <w:rPr>
          <w:rFonts w:ascii="Arial" w:hAnsi="Arial" w:cs="Arial"/>
          <w:lang w:val="en-US"/>
        </w:rPr>
        <w:t xml:space="preserve">., </w:t>
      </w:r>
      <w:proofErr w:type="spellStart"/>
      <w:r w:rsidRPr="00454F9A">
        <w:rPr>
          <w:rFonts w:ascii="Arial" w:hAnsi="Arial" w:cs="Arial"/>
          <w:lang w:val="en-US"/>
        </w:rPr>
        <w:t>Bulin</w:t>
      </w:r>
      <w:proofErr w:type="spellEnd"/>
      <w:r w:rsidRPr="00454F9A">
        <w:rPr>
          <w:rFonts w:ascii="Arial" w:hAnsi="Arial" w:cs="Arial"/>
          <w:lang w:val="en-US"/>
        </w:rPr>
        <w:t xml:space="preserve"> M., </w:t>
      </w:r>
      <w:proofErr w:type="spellStart"/>
      <w:r w:rsidRPr="00454F9A">
        <w:rPr>
          <w:rFonts w:ascii="Arial" w:hAnsi="Arial" w:cs="Arial"/>
          <w:lang w:val="en-US"/>
        </w:rPr>
        <w:t>Viczián</w:t>
      </w:r>
      <w:proofErr w:type="spellEnd"/>
      <w:r w:rsidRPr="00454F9A">
        <w:rPr>
          <w:rFonts w:ascii="Arial" w:hAnsi="Arial" w:cs="Arial"/>
          <w:lang w:val="en-US"/>
        </w:rPr>
        <w:t xml:space="preserve"> G., </w:t>
      </w:r>
      <w:proofErr w:type="spellStart"/>
      <w:r w:rsidRPr="00454F9A">
        <w:rPr>
          <w:rFonts w:ascii="Arial" w:hAnsi="Arial" w:cs="Arial"/>
          <w:lang w:val="en-US"/>
        </w:rPr>
        <w:t>Kollár-Hunek</w:t>
      </w:r>
      <w:proofErr w:type="spellEnd"/>
      <w:r w:rsidRPr="00454F9A">
        <w:rPr>
          <w:rFonts w:ascii="Arial" w:hAnsi="Arial" w:cs="Arial"/>
          <w:lang w:val="en-US"/>
        </w:rPr>
        <w:t xml:space="preserve"> K.:  TRIANGLE - </w:t>
      </w:r>
      <w:proofErr w:type="spellStart"/>
      <w:r w:rsidRPr="00454F9A">
        <w:rPr>
          <w:rFonts w:ascii="Arial" w:hAnsi="Arial" w:cs="Arial"/>
          <w:lang w:val="en-US"/>
        </w:rPr>
        <w:t>ein</w:t>
      </w:r>
      <w:proofErr w:type="spellEnd"/>
      <w:r w:rsidRPr="00454F9A">
        <w:rPr>
          <w:rFonts w:ascii="Arial" w:hAnsi="Arial" w:cs="Arial"/>
          <w:lang w:val="en-US"/>
        </w:rPr>
        <w:t xml:space="preserve"> Computer-</w:t>
      </w:r>
      <w:proofErr w:type="spellStart"/>
      <w:r w:rsidRPr="00454F9A">
        <w:rPr>
          <w:rFonts w:ascii="Arial" w:hAnsi="Arial" w:cs="Arial"/>
          <w:lang w:val="en-US"/>
        </w:rPr>
        <w:t>Programm</w:t>
      </w:r>
      <w:proofErr w:type="spellEnd"/>
      <w:r w:rsidRPr="00454F9A">
        <w:rPr>
          <w:rFonts w:ascii="Arial" w:hAnsi="Arial" w:cs="Arial"/>
          <w:lang w:val="en-US"/>
        </w:rPr>
        <w:t xml:space="preserve"> </w:t>
      </w:r>
      <w:proofErr w:type="spellStart"/>
      <w:r w:rsidRPr="00454F9A">
        <w:rPr>
          <w:rFonts w:ascii="Arial" w:hAnsi="Arial" w:cs="Arial"/>
          <w:lang w:val="en-US"/>
        </w:rPr>
        <w:t>zur</w:t>
      </w:r>
      <w:proofErr w:type="spellEnd"/>
      <w:r w:rsidRPr="00454F9A">
        <w:rPr>
          <w:rFonts w:ascii="Arial" w:hAnsi="Arial" w:cs="Arial"/>
          <w:lang w:val="en-US"/>
        </w:rPr>
        <w:t xml:space="preserve"> </w:t>
      </w:r>
      <w:proofErr w:type="spellStart"/>
      <w:r w:rsidRPr="00454F9A">
        <w:rPr>
          <w:rFonts w:ascii="Arial" w:hAnsi="Arial" w:cs="Arial"/>
          <w:lang w:val="en-US"/>
        </w:rPr>
        <w:t>Darstellung</w:t>
      </w:r>
      <w:proofErr w:type="spellEnd"/>
      <w:r w:rsidRPr="00454F9A">
        <w:rPr>
          <w:rFonts w:ascii="Arial" w:hAnsi="Arial" w:cs="Arial"/>
          <w:lang w:val="en-US"/>
        </w:rPr>
        <w:t xml:space="preserve"> und </w:t>
      </w:r>
      <w:proofErr w:type="spellStart"/>
      <w:r w:rsidRPr="00454F9A">
        <w:rPr>
          <w:rFonts w:ascii="Arial" w:hAnsi="Arial" w:cs="Arial"/>
          <w:lang w:val="en-US"/>
        </w:rPr>
        <w:t>Auswertung</w:t>
      </w:r>
      <w:proofErr w:type="spellEnd"/>
      <w:r w:rsidRPr="00454F9A">
        <w:rPr>
          <w:rFonts w:ascii="Arial" w:hAnsi="Arial" w:cs="Arial"/>
          <w:lang w:val="en-US"/>
        </w:rPr>
        <w:t xml:space="preserve"> der </w:t>
      </w:r>
      <w:proofErr w:type="spellStart"/>
      <w:r w:rsidRPr="00454F9A">
        <w:rPr>
          <w:rFonts w:ascii="Arial" w:hAnsi="Arial" w:cs="Arial"/>
          <w:lang w:val="en-US"/>
        </w:rPr>
        <w:t>Explosionsbereiche</w:t>
      </w:r>
      <w:proofErr w:type="spellEnd"/>
      <w:r w:rsidRPr="00454F9A">
        <w:rPr>
          <w:rFonts w:ascii="Arial" w:hAnsi="Arial" w:cs="Arial"/>
          <w:lang w:val="en-US"/>
        </w:rPr>
        <w:t xml:space="preserve"> von </w:t>
      </w:r>
      <w:proofErr w:type="spellStart"/>
      <w:r w:rsidRPr="00454F9A">
        <w:rPr>
          <w:rFonts w:ascii="Arial" w:hAnsi="Arial" w:cs="Arial"/>
          <w:lang w:val="en-US"/>
        </w:rPr>
        <w:t>Dreistoffsystemen</w:t>
      </w:r>
      <w:proofErr w:type="spellEnd"/>
      <w:r w:rsidRPr="00454F9A">
        <w:rPr>
          <w:rFonts w:ascii="Arial" w:hAnsi="Arial" w:cs="Arial"/>
          <w:lang w:val="en-US"/>
        </w:rPr>
        <w:t xml:space="preserve">, </w:t>
      </w:r>
      <w:proofErr w:type="spellStart"/>
      <w:r w:rsidRPr="00454F9A">
        <w:rPr>
          <w:rFonts w:ascii="Arial" w:hAnsi="Arial" w:cs="Arial"/>
          <w:lang w:val="en-US"/>
        </w:rPr>
        <w:t>Technische</w:t>
      </w:r>
      <w:proofErr w:type="spellEnd"/>
      <w:r w:rsidRPr="00454F9A">
        <w:rPr>
          <w:rFonts w:ascii="Arial" w:hAnsi="Arial" w:cs="Arial"/>
          <w:lang w:val="en-US"/>
        </w:rPr>
        <w:t xml:space="preserve"> </w:t>
      </w:r>
      <w:proofErr w:type="spellStart"/>
      <w:r w:rsidRPr="00454F9A">
        <w:rPr>
          <w:rFonts w:ascii="Arial" w:hAnsi="Arial" w:cs="Arial"/>
          <w:lang w:val="en-US"/>
        </w:rPr>
        <w:t>Überwachung</w:t>
      </w:r>
      <w:proofErr w:type="spellEnd"/>
      <w:r w:rsidRPr="00454F9A">
        <w:rPr>
          <w:rFonts w:ascii="Arial" w:hAnsi="Arial" w:cs="Arial"/>
          <w:lang w:val="en-US"/>
        </w:rPr>
        <w:t xml:space="preserve"> Springer-VDI </w:t>
      </w:r>
      <w:proofErr w:type="spellStart"/>
      <w:r w:rsidRPr="00454F9A">
        <w:rPr>
          <w:rFonts w:ascii="Arial" w:hAnsi="Arial" w:cs="Arial"/>
          <w:lang w:val="en-US"/>
        </w:rPr>
        <w:t>Verlag</w:t>
      </w:r>
      <w:proofErr w:type="spellEnd"/>
      <w:r w:rsidRPr="00454F9A">
        <w:rPr>
          <w:rFonts w:ascii="Arial" w:hAnsi="Arial" w:cs="Arial"/>
          <w:lang w:val="en-US"/>
        </w:rPr>
        <w:t>, Bd.44, Nr.1/2, S32-35, 2003</w:t>
      </w:r>
    </w:p>
    <w:p w:rsidR="00302F35" w:rsidRPr="00454F9A" w:rsidRDefault="00302F35" w:rsidP="00454F9A">
      <w:pPr>
        <w:rPr>
          <w:rFonts w:ascii="Arial" w:hAnsi="Arial" w:cs="Arial"/>
          <w:lang w:val="de-DE"/>
        </w:rPr>
      </w:pPr>
      <w:bookmarkStart w:id="20" w:name="Spline1"/>
      <w:bookmarkStart w:id="21" w:name="_Ref33067353"/>
      <w:r w:rsidRPr="00454F9A">
        <w:rPr>
          <w:rFonts w:ascii="Arial" w:hAnsi="Arial" w:cs="Arial"/>
          <w:lang w:val="de-DE"/>
        </w:rPr>
        <w:t>3. Späth, H.</w:t>
      </w:r>
      <w:bookmarkEnd w:id="20"/>
      <w:r w:rsidRPr="00454F9A">
        <w:rPr>
          <w:rFonts w:ascii="Arial" w:hAnsi="Arial" w:cs="Arial"/>
          <w:lang w:val="de-DE"/>
        </w:rPr>
        <w:t xml:space="preserve">: Algorithmen zur Konstruktion </w:t>
      </w:r>
      <w:proofErr w:type="spellStart"/>
      <w:r w:rsidRPr="00454F9A">
        <w:rPr>
          <w:rFonts w:ascii="Arial" w:hAnsi="Arial" w:cs="Arial"/>
          <w:lang w:val="de-DE"/>
        </w:rPr>
        <w:t>glätter</w:t>
      </w:r>
      <w:proofErr w:type="spellEnd"/>
      <w:r w:rsidRPr="00454F9A">
        <w:rPr>
          <w:rFonts w:ascii="Arial" w:hAnsi="Arial" w:cs="Arial"/>
          <w:lang w:val="de-DE"/>
        </w:rPr>
        <w:t xml:space="preserve"> Kurven und Flächen, Oldenburg, München, Wien, 1983</w:t>
      </w:r>
      <w:bookmarkEnd w:id="21"/>
    </w:p>
    <w:p w:rsidR="00302F35" w:rsidRPr="00454F9A" w:rsidRDefault="00302F35" w:rsidP="00454F9A">
      <w:pPr>
        <w:rPr>
          <w:rFonts w:ascii="Arial" w:hAnsi="Arial" w:cs="Arial"/>
          <w:lang w:val="de-DE"/>
        </w:rPr>
      </w:pPr>
      <w:bookmarkStart w:id="22" w:name="Spline2"/>
      <w:r w:rsidRPr="00454F9A">
        <w:rPr>
          <w:rFonts w:ascii="Arial" w:hAnsi="Arial" w:cs="Arial"/>
          <w:lang w:val="de-DE"/>
        </w:rPr>
        <w:t xml:space="preserve">4. </w:t>
      </w:r>
      <w:proofErr w:type="spellStart"/>
      <w:r w:rsidRPr="00454F9A">
        <w:rPr>
          <w:rFonts w:ascii="Arial" w:hAnsi="Arial" w:cs="Arial"/>
          <w:lang w:val="de-DE"/>
        </w:rPr>
        <w:t>Viczián</w:t>
      </w:r>
      <w:proofErr w:type="spellEnd"/>
      <w:r w:rsidRPr="00454F9A">
        <w:rPr>
          <w:rFonts w:ascii="Arial" w:hAnsi="Arial" w:cs="Arial"/>
          <w:lang w:val="de-DE"/>
        </w:rPr>
        <w:t xml:space="preserve"> G.</w:t>
      </w:r>
      <w:bookmarkEnd w:id="22"/>
      <w:r w:rsidRPr="00454F9A">
        <w:rPr>
          <w:rFonts w:ascii="Arial" w:hAnsi="Arial" w:cs="Arial"/>
          <w:lang w:val="de-DE"/>
        </w:rPr>
        <w:t xml:space="preserve">, </w:t>
      </w:r>
      <w:proofErr w:type="spellStart"/>
      <w:r w:rsidRPr="00454F9A">
        <w:rPr>
          <w:rFonts w:ascii="Arial" w:hAnsi="Arial" w:cs="Arial"/>
          <w:lang w:val="de-DE"/>
        </w:rPr>
        <w:t>Molnárné-Jobbágy</w:t>
      </w:r>
      <w:proofErr w:type="spellEnd"/>
      <w:r w:rsidRPr="00454F9A">
        <w:rPr>
          <w:rFonts w:ascii="Arial" w:hAnsi="Arial" w:cs="Arial"/>
          <w:lang w:val="de-DE"/>
        </w:rPr>
        <w:t xml:space="preserve"> M., </w:t>
      </w:r>
      <w:proofErr w:type="spellStart"/>
      <w:r w:rsidRPr="00454F9A">
        <w:rPr>
          <w:rFonts w:ascii="Arial" w:hAnsi="Arial" w:cs="Arial"/>
          <w:lang w:val="de-DE"/>
        </w:rPr>
        <w:t>Heszberger</w:t>
      </w:r>
      <w:proofErr w:type="spellEnd"/>
      <w:r w:rsidRPr="00454F9A">
        <w:rPr>
          <w:rFonts w:ascii="Arial" w:hAnsi="Arial" w:cs="Arial"/>
          <w:lang w:val="de-DE"/>
        </w:rPr>
        <w:t xml:space="preserve"> J., </w:t>
      </w:r>
      <w:proofErr w:type="spellStart"/>
      <w:r w:rsidRPr="00454F9A">
        <w:rPr>
          <w:rFonts w:ascii="Arial" w:hAnsi="Arial" w:cs="Arial"/>
          <w:lang w:val="de-DE"/>
        </w:rPr>
        <w:t>Kollár-Hunek</w:t>
      </w:r>
      <w:proofErr w:type="spellEnd"/>
      <w:r w:rsidRPr="00454F9A">
        <w:rPr>
          <w:rFonts w:ascii="Arial" w:hAnsi="Arial" w:cs="Arial"/>
          <w:lang w:val="de-DE"/>
        </w:rPr>
        <w:t xml:space="preserve"> K.: Explosion </w:t>
      </w:r>
      <w:proofErr w:type="spellStart"/>
      <w:r w:rsidRPr="00454F9A">
        <w:rPr>
          <w:rFonts w:ascii="Arial" w:hAnsi="Arial" w:cs="Arial"/>
          <w:lang w:val="de-DE"/>
        </w:rPr>
        <w:t>areas</w:t>
      </w:r>
      <w:proofErr w:type="spellEnd"/>
      <w:r w:rsidRPr="00454F9A">
        <w:rPr>
          <w:rFonts w:ascii="Arial" w:hAnsi="Arial" w:cs="Arial"/>
          <w:lang w:val="de-DE"/>
        </w:rPr>
        <w:t xml:space="preserve"> </w:t>
      </w:r>
      <w:proofErr w:type="spellStart"/>
      <w:r w:rsidRPr="00454F9A">
        <w:rPr>
          <w:rFonts w:ascii="Arial" w:hAnsi="Arial" w:cs="Arial"/>
          <w:lang w:val="de-DE"/>
        </w:rPr>
        <w:t>of</w:t>
      </w:r>
      <w:proofErr w:type="spellEnd"/>
      <w:r w:rsidRPr="00454F9A">
        <w:rPr>
          <w:rFonts w:ascii="Arial" w:hAnsi="Arial" w:cs="Arial"/>
          <w:lang w:val="de-DE"/>
        </w:rPr>
        <w:t xml:space="preserve"> </w:t>
      </w:r>
      <w:proofErr w:type="spellStart"/>
      <w:r w:rsidRPr="00454F9A">
        <w:rPr>
          <w:rFonts w:ascii="Arial" w:hAnsi="Arial" w:cs="Arial"/>
          <w:lang w:val="de-DE"/>
        </w:rPr>
        <w:t>flammable</w:t>
      </w:r>
      <w:proofErr w:type="spellEnd"/>
      <w:r w:rsidRPr="00454F9A">
        <w:rPr>
          <w:rFonts w:ascii="Arial" w:hAnsi="Arial" w:cs="Arial"/>
          <w:lang w:val="de-DE"/>
        </w:rPr>
        <w:t xml:space="preserve"> </w:t>
      </w:r>
      <w:proofErr w:type="spellStart"/>
      <w:r w:rsidRPr="00454F9A">
        <w:rPr>
          <w:rFonts w:ascii="Arial" w:hAnsi="Arial" w:cs="Arial"/>
          <w:lang w:val="de-DE"/>
        </w:rPr>
        <w:t>substances</w:t>
      </w:r>
      <w:proofErr w:type="spellEnd"/>
      <w:r w:rsidRPr="00454F9A">
        <w:rPr>
          <w:rFonts w:ascii="Arial" w:hAnsi="Arial" w:cs="Arial"/>
          <w:lang w:val="de-DE"/>
        </w:rPr>
        <w:t xml:space="preserve"> </w:t>
      </w:r>
      <w:proofErr w:type="spellStart"/>
      <w:r w:rsidRPr="00454F9A">
        <w:rPr>
          <w:rFonts w:ascii="Arial" w:hAnsi="Arial" w:cs="Arial"/>
          <w:lang w:val="de-DE"/>
        </w:rPr>
        <w:t>and</w:t>
      </w:r>
      <w:proofErr w:type="spellEnd"/>
      <w:r w:rsidRPr="00454F9A">
        <w:rPr>
          <w:rFonts w:ascii="Arial" w:hAnsi="Arial" w:cs="Arial"/>
          <w:lang w:val="de-DE"/>
        </w:rPr>
        <w:t xml:space="preserve"> </w:t>
      </w:r>
      <w:proofErr w:type="spellStart"/>
      <w:r w:rsidRPr="00454F9A">
        <w:rPr>
          <w:rFonts w:ascii="Arial" w:hAnsi="Arial" w:cs="Arial"/>
          <w:lang w:val="de-DE"/>
        </w:rPr>
        <w:t>their</w:t>
      </w:r>
      <w:proofErr w:type="spellEnd"/>
      <w:r w:rsidRPr="00454F9A">
        <w:rPr>
          <w:rFonts w:ascii="Arial" w:hAnsi="Arial" w:cs="Arial"/>
          <w:lang w:val="de-DE"/>
        </w:rPr>
        <w:t xml:space="preserve"> </w:t>
      </w:r>
      <w:proofErr w:type="spellStart"/>
      <w:r w:rsidRPr="00454F9A">
        <w:rPr>
          <w:rFonts w:ascii="Arial" w:hAnsi="Arial" w:cs="Arial"/>
          <w:lang w:val="de-DE"/>
        </w:rPr>
        <w:t>numerical</w:t>
      </w:r>
      <w:proofErr w:type="spellEnd"/>
      <w:r w:rsidRPr="00454F9A">
        <w:rPr>
          <w:rFonts w:ascii="Arial" w:hAnsi="Arial" w:cs="Arial"/>
          <w:lang w:val="de-DE"/>
        </w:rPr>
        <w:t xml:space="preserve"> </w:t>
      </w:r>
      <w:proofErr w:type="spellStart"/>
      <w:r w:rsidRPr="00454F9A">
        <w:rPr>
          <w:rFonts w:ascii="Arial" w:hAnsi="Arial" w:cs="Arial"/>
          <w:lang w:val="de-DE"/>
        </w:rPr>
        <w:t>approximation</w:t>
      </w:r>
      <w:proofErr w:type="spellEnd"/>
      <w:r w:rsidRPr="00454F9A">
        <w:rPr>
          <w:rFonts w:ascii="Arial" w:hAnsi="Arial" w:cs="Arial"/>
          <w:lang w:val="de-DE"/>
        </w:rPr>
        <w:t xml:space="preserve">, Hung. Journal </w:t>
      </w:r>
      <w:proofErr w:type="spellStart"/>
      <w:proofErr w:type="gramStart"/>
      <w:r w:rsidRPr="00454F9A">
        <w:rPr>
          <w:rFonts w:ascii="Arial" w:hAnsi="Arial" w:cs="Arial"/>
          <w:lang w:val="de-DE"/>
        </w:rPr>
        <w:t>of</w:t>
      </w:r>
      <w:proofErr w:type="spellEnd"/>
      <w:r w:rsidRPr="00454F9A">
        <w:rPr>
          <w:rFonts w:ascii="Arial" w:hAnsi="Arial" w:cs="Arial"/>
          <w:lang w:val="de-DE"/>
        </w:rPr>
        <w:t xml:space="preserve">  </w:t>
      </w:r>
      <w:proofErr w:type="spellStart"/>
      <w:r w:rsidRPr="00454F9A">
        <w:rPr>
          <w:rFonts w:ascii="Arial" w:hAnsi="Arial" w:cs="Arial"/>
          <w:lang w:val="de-DE"/>
        </w:rPr>
        <w:t>Ind</w:t>
      </w:r>
      <w:proofErr w:type="spellEnd"/>
      <w:proofErr w:type="gramEnd"/>
      <w:r w:rsidRPr="00454F9A">
        <w:rPr>
          <w:rFonts w:ascii="Arial" w:hAnsi="Arial" w:cs="Arial"/>
          <w:lang w:val="de-DE"/>
        </w:rPr>
        <w:t xml:space="preserve">. Chem., </w:t>
      </w:r>
      <w:proofErr w:type="spellStart"/>
      <w:r w:rsidRPr="00454F9A">
        <w:rPr>
          <w:rFonts w:ascii="Arial" w:hAnsi="Arial" w:cs="Arial"/>
          <w:lang w:val="de-DE"/>
        </w:rPr>
        <w:t>Vol</w:t>
      </w:r>
      <w:proofErr w:type="spellEnd"/>
      <w:r w:rsidRPr="00454F9A">
        <w:rPr>
          <w:rFonts w:ascii="Arial" w:hAnsi="Arial" w:cs="Arial"/>
          <w:lang w:val="de-DE"/>
        </w:rPr>
        <w:t xml:space="preserve"> 29, p143-148, 2001</w:t>
      </w:r>
    </w:p>
    <w:p w:rsidR="00302F35" w:rsidRPr="00454F9A" w:rsidRDefault="00302F35" w:rsidP="00454F9A">
      <w:pPr>
        <w:rPr>
          <w:rFonts w:ascii="Arial" w:hAnsi="Arial" w:cs="Arial"/>
        </w:rPr>
      </w:pPr>
    </w:p>
    <w:p w:rsidR="00302F35" w:rsidRPr="00454F9A" w:rsidRDefault="00302F35" w:rsidP="00454F9A">
      <w:pPr>
        <w:rPr>
          <w:rFonts w:ascii="Arial" w:hAnsi="Arial" w:cs="Arial"/>
          <w:caps/>
        </w:rPr>
      </w:pPr>
      <w:bookmarkStart w:id="23" w:name="_Toc308106909"/>
      <w:r w:rsidRPr="00454F9A">
        <w:rPr>
          <w:rFonts w:ascii="Arial" w:hAnsi="Arial" w:cs="Arial"/>
          <w:caps/>
        </w:rPr>
        <w:t>Ábrajegyzék</w:t>
      </w:r>
      <w:bookmarkEnd w:id="23"/>
    </w:p>
    <w:p w:rsidR="00302F35" w:rsidRPr="00454F9A" w:rsidRDefault="00302F35" w:rsidP="00454F9A">
      <w:pPr>
        <w:rPr>
          <w:rFonts w:ascii="Arial" w:hAnsi="Arial" w:cs="Arial"/>
        </w:rPr>
      </w:pPr>
    </w:p>
    <w:sectPr w:rsidR="00302F35" w:rsidRPr="00454F9A" w:rsidSect="00B31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275FF"/>
    <w:multiLevelType w:val="multilevel"/>
    <w:tmpl w:val="CB30786E"/>
    <w:styleLink w:val="MKstilus"/>
    <w:lvl w:ilvl="0">
      <w:start w:val="1"/>
      <w:numFmt w:val="decimal"/>
      <w:lvlText w:val="MK-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MK-%2.%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C195A3B"/>
    <w:multiLevelType w:val="hybridMultilevel"/>
    <w:tmpl w:val="9D9E58B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780154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974"/>
    <w:rsid w:val="00045864"/>
    <w:rsid w:val="000551A5"/>
    <w:rsid w:val="00145904"/>
    <w:rsid w:val="00190DCE"/>
    <w:rsid w:val="00302F35"/>
    <w:rsid w:val="00454F9A"/>
    <w:rsid w:val="00601EA0"/>
    <w:rsid w:val="00706BE7"/>
    <w:rsid w:val="0074733D"/>
    <w:rsid w:val="0084099C"/>
    <w:rsid w:val="00865974"/>
    <w:rsid w:val="008701E0"/>
    <w:rsid w:val="00935FFB"/>
    <w:rsid w:val="00972D1F"/>
    <w:rsid w:val="00974890"/>
    <w:rsid w:val="00B31F6C"/>
    <w:rsid w:val="00B64669"/>
    <w:rsid w:val="00BE3C00"/>
    <w:rsid w:val="00D06BB7"/>
    <w:rsid w:val="00E74115"/>
    <w:rsid w:val="00F11294"/>
    <w:rsid w:val="00F24C7E"/>
    <w:rsid w:val="00FF5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DE77B410-6429-47B6-B3A3-89B5DD6FF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5974"/>
  </w:style>
  <w:style w:type="paragraph" w:styleId="Cmsor1">
    <w:name w:val="heading 1"/>
    <w:basedOn w:val="Norml"/>
    <w:next w:val="Norml"/>
    <w:link w:val="Cmsor1Char"/>
    <w:uiPriority w:val="9"/>
    <w:qFormat/>
    <w:rsid w:val="00865974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865974"/>
    <w:pPr>
      <w:keepNext/>
      <w:keepLines/>
      <w:numPr>
        <w:ilvl w:val="1"/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65974"/>
    <w:pPr>
      <w:keepNext/>
      <w:keepLines/>
      <w:numPr>
        <w:ilvl w:val="2"/>
        <w:numId w:val="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65974"/>
    <w:pPr>
      <w:keepNext/>
      <w:keepLines/>
      <w:numPr>
        <w:ilvl w:val="3"/>
        <w:numId w:val="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65974"/>
    <w:pPr>
      <w:keepNext/>
      <w:keepLines/>
      <w:numPr>
        <w:ilvl w:val="4"/>
        <w:numId w:val="2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65974"/>
    <w:pPr>
      <w:keepNext/>
      <w:keepLines/>
      <w:numPr>
        <w:ilvl w:val="5"/>
        <w:numId w:val="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865974"/>
    <w:pPr>
      <w:keepNext/>
      <w:keepLines/>
      <w:numPr>
        <w:ilvl w:val="6"/>
        <w:numId w:val="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865974"/>
    <w:pPr>
      <w:keepNext/>
      <w:keepLines/>
      <w:numPr>
        <w:ilvl w:val="7"/>
        <w:numId w:val="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865974"/>
    <w:pPr>
      <w:keepNext/>
      <w:keepLines/>
      <w:numPr>
        <w:ilvl w:val="8"/>
        <w:numId w:val="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numbering" w:customStyle="1" w:styleId="MKstilus">
    <w:name w:val="MK_stilus"/>
    <w:uiPriority w:val="99"/>
    <w:rsid w:val="00FF5B28"/>
    <w:pPr>
      <w:numPr>
        <w:numId w:val="1"/>
      </w:numPr>
    </w:pPr>
  </w:style>
  <w:style w:type="character" w:customStyle="1" w:styleId="Cmsor1Char">
    <w:name w:val="Címsor 1 Char"/>
    <w:basedOn w:val="Bekezdsalapbettpusa"/>
    <w:link w:val="Cmsor1"/>
    <w:uiPriority w:val="9"/>
    <w:rsid w:val="00865974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rsid w:val="0086597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6597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659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65974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659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86597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865974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86597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Kpalrs">
    <w:name w:val="caption"/>
    <w:basedOn w:val="Norml"/>
    <w:next w:val="Norml"/>
    <w:qFormat/>
    <w:rsid w:val="00302F35"/>
    <w:pPr>
      <w:spacing w:after="240" w:line="360" w:lineRule="auto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semiHidden/>
    <w:unhideWhenUsed/>
    <w:rsid w:val="00302F35"/>
    <w:rPr>
      <w:color w:val="0000FF" w:themeColor="hyperlink"/>
      <w:u w:val="single"/>
    </w:rPr>
  </w:style>
  <w:style w:type="character" w:styleId="Helyrzszveg">
    <w:name w:val="Placeholder Text"/>
    <w:basedOn w:val="Bekezdsalapbettpusa"/>
    <w:uiPriority w:val="99"/>
    <w:semiHidden/>
    <w:rsid w:val="00601E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172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94800204-2DC3-4B60-96AC-8BB9A037C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1796</Words>
  <Characters>12393</Characters>
  <Application>Microsoft Office Word</Application>
  <DocSecurity>0</DocSecurity>
  <Lines>103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BME</Company>
  <LinksUpToDate>false</LinksUpToDate>
  <CharactersWithSpaces>14161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khk</dc:creator>
  <cp:keywords/>
  <dc:description/>
  <cp:lastModifiedBy>Gyula</cp:lastModifiedBy>
  <cp:revision>6</cp:revision>
  <dcterms:created xsi:type="dcterms:W3CDTF">2019-10-02T08:33:00Z</dcterms:created>
  <dcterms:modified xsi:type="dcterms:W3CDTF">2019-10-02T12:03:00Z</dcterms:modified>
</cp:coreProperties>
</file>